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70478" w14:textId="77777777" w:rsidR="00000000" w:rsidRDefault="00000000">
      <w:pPr>
        <w:autoSpaceDE w:val="0"/>
        <w:autoSpaceDN w:val="0"/>
        <w:adjustRightInd w:val="0"/>
        <w:rPr>
          <w:rStyle w:val="e01txtgris021"/>
          <w:bCs/>
          <w:color w:val="666666"/>
          <w:sz w:val="27"/>
          <w:szCs w:val="27"/>
        </w:rPr>
      </w:pPr>
      <w:r>
        <w:rPr>
          <w:rStyle w:val="e01txtgris021"/>
          <w:bCs/>
          <w:color w:val="666666"/>
          <w:sz w:val="27"/>
          <w:szCs w:val="27"/>
        </w:rPr>
        <w:t xml:space="preserve">Empleo: Profesional Químico Farmacéutico. Unidad de Farmacia CRS de Maipú. </w:t>
      </w:r>
    </w:p>
    <w:p w14:paraId="0E636A54" w14:textId="77777777" w:rsidR="00000000" w:rsidRDefault="00000000">
      <w:pPr>
        <w:autoSpaceDE w:val="0"/>
        <w:autoSpaceDN w:val="0"/>
        <w:adjustRightInd w:val="0"/>
        <w:rPr>
          <w:rStyle w:val="e01txtgris021"/>
          <w:bCs/>
          <w:sz w:val="27"/>
          <w:szCs w:val="27"/>
        </w:rPr>
      </w:pPr>
    </w:p>
    <w:tbl>
      <w:tblPr>
        <w:tblW w:w="0" w:type="auto"/>
        <w:tblLook w:val="01E0" w:firstRow="1" w:lastRow="1" w:firstColumn="1" w:lastColumn="1" w:noHBand="0" w:noVBand="0"/>
      </w:tblPr>
      <w:tblGrid>
        <w:gridCol w:w="4770"/>
        <w:gridCol w:w="4770"/>
      </w:tblGrid>
      <w:tr w:rsidR="00000000" w14:paraId="11D6EBC9" w14:textId="77777777">
        <w:trPr>
          <w:trHeight w:val="251"/>
        </w:trPr>
        <w:tc>
          <w:tcPr>
            <w:tcW w:w="4877" w:type="dxa"/>
            <w:hideMark/>
          </w:tcPr>
          <w:p w14:paraId="16F2E03A" w14:textId="77777777" w:rsidR="00000000" w:rsidRDefault="00000000">
            <w:pPr>
              <w:autoSpaceDE w:val="0"/>
              <w:autoSpaceDN w:val="0"/>
              <w:adjustRightInd w:val="0"/>
              <w:spacing w:after="240"/>
              <w:rPr>
                <w:rFonts w:ascii="Trebuchet MS" w:hAnsi="Trebuchet MS" w:cs="Tahoma"/>
                <w:b/>
              </w:rPr>
            </w:pPr>
            <w:r>
              <w:rPr>
                <w:b/>
                <w:bCs/>
                <w:color w:val="000000"/>
                <w:sz w:val="16"/>
                <w:szCs w:val="16"/>
              </w:rPr>
              <w:t xml:space="preserve">Ministerio </w:t>
            </w:r>
            <w:r>
              <w:rPr>
                <w:color w:val="000000"/>
                <w:sz w:val="16"/>
                <w:szCs w:val="16"/>
              </w:rPr>
              <w:br/>
              <w:t>Ministerio de Salud</w:t>
            </w:r>
          </w:p>
        </w:tc>
        <w:tc>
          <w:tcPr>
            <w:tcW w:w="4879" w:type="dxa"/>
            <w:hideMark/>
          </w:tcPr>
          <w:p w14:paraId="7E90BE06" w14:textId="77777777" w:rsidR="00000000" w:rsidRDefault="00000000">
            <w:pPr>
              <w:autoSpaceDE w:val="0"/>
              <w:autoSpaceDN w:val="0"/>
              <w:adjustRightInd w:val="0"/>
              <w:spacing w:after="240"/>
              <w:rPr>
                <w:rFonts w:ascii="Trebuchet MS" w:hAnsi="Trebuchet MS" w:cs="Tahoma"/>
                <w:b/>
                <w:bCs/>
              </w:rPr>
            </w:pPr>
            <w:r>
              <w:rPr>
                <w:b/>
                <w:bCs/>
                <w:color w:val="000000"/>
                <w:sz w:val="16"/>
                <w:szCs w:val="16"/>
              </w:rPr>
              <w:t xml:space="preserve">Institución / Entidad </w:t>
            </w:r>
            <w:r>
              <w:rPr>
                <w:color w:val="000000"/>
                <w:sz w:val="16"/>
                <w:szCs w:val="16"/>
              </w:rPr>
              <w:br/>
              <w:t xml:space="preserve">Centro de Referencia de Salud de Maipú / </w:t>
            </w:r>
          </w:p>
        </w:tc>
      </w:tr>
      <w:tr w:rsidR="00000000" w14:paraId="58B651EE" w14:textId="77777777">
        <w:trPr>
          <w:trHeight w:val="213"/>
        </w:trPr>
        <w:tc>
          <w:tcPr>
            <w:tcW w:w="4877" w:type="dxa"/>
            <w:hideMark/>
          </w:tcPr>
          <w:p w14:paraId="7D203E61" w14:textId="77777777" w:rsidR="00000000" w:rsidRDefault="00000000">
            <w:pPr>
              <w:autoSpaceDE w:val="0"/>
              <w:autoSpaceDN w:val="0"/>
              <w:adjustRightInd w:val="0"/>
              <w:rPr>
                <w:rFonts w:ascii="Trebuchet MS" w:hAnsi="Trebuchet MS" w:cs="Tahoma"/>
                <w:b/>
                <w:bCs/>
              </w:rPr>
            </w:pPr>
            <w:r>
              <w:rPr>
                <w:b/>
                <w:bCs/>
                <w:color w:val="000000"/>
                <w:sz w:val="16"/>
                <w:szCs w:val="16"/>
              </w:rPr>
              <w:t xml:space="preserve">Cargo </w:t>
            </w:r>
            <w:r>
              <w:rPr>
                <w:bCs/>
                <w:color w:val="000000"/>
                <w:sz w:val="16"/>
                <w:szCs w:val="16"/>
              </w:rPr>
              <w:br/>
              <w:t xml:space="preserve">Profesional Químico Farmacéutico. Unidad de Farmacia CRS de Maipú. </w:t>
            </w:r>
          </w:p>
        </w:tc>
        <w:tc>
          <w:tcPr>
            <w:tcW w:w="4879" w:type="dxa"/>
            <w:hideMark/>
          </w:tcPr>
          <w:p w14:paraId="59061090" w14:textId="77777777" w:rsidR="00000000" w:rsidRDefault="00000000">
            <w:pPr>
              <w:autoSpaceDE w:val="0"/>
              <w:autoSpaceDN w:val="0"/>
              <w:adjustRightInd w:val="0"/>
              <w:spacing w:after="240"/>
              <w:rPr>
                <w:bCs/>
                <w:color w:val="000000"/>
                <w:sz w:val="16"/>
                <w:szCs w:val="16"/>
              </w:rPr>
            </w:pPr>
            <w:r>
              <w:rPr>
                <w:b/>
                <w:bCs/>
                <w:color w:val="000000"/>
                <w:sz w:val="16"/>
                <w:szCs w:val="16"/>
              </w:rPr>
              <w:t xml:space="preserve">Nº de Vacantes </w:t>
            </w:r>
            <w:r>
              <w:rPr>
                <w:bCs/>
                <w:color w:val="000000"/>
                <w:sz w:val="16"/>
                <w:szCs w:val="16"/>
              </w:rPr>
              <w:br/>
              <w:t>1</w:t>
            </w:r>
          </w:p>
        </w:tc>
      </w:tr>
      <w:tr w:rsidR="00000000" w14:paraId="67229FE4" w14:textId="77777777">
        <w:trPr>
          <w:trHeight w:val="192"/>
        </w:trPr>
        <w:tc>
          <w:tcPr>
            <w:tcW w:w="4877" w:type="dxa"/>
            <w:hideMark/>
          </w:tcPr>
          <w:p w14:paraId="65720DB2" w14:textId="77777777"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Área de Trabajo </w:t>
            </w:r>
            <w:r>
              <w:rPr>
                <w:color w:val="000000"/>
                <w:sz w:val="16"/>
                <w:szCs w:val="16"/>
              </w:rPr>
              <w:br/>
              <w:t>Salud</w:t>
            </w:r>
          </w:p>
        </w:tc>
        <w:tc>
          <w:tcPr>
            <w:tcW w:w="4879" w:type="dxa"/>
            <w:hideMark/>
          </w:tcPr>
          <w:p w14:paraId="638457A1" w14:textId="77777777" w:rsidR="00000000" w:rsidRDefault="00000000">
            <w:pPr>
              <w:autoSpaceDE w:val="0"/>
              <w:autoSpaceDN w:val="0"/>
              <w:adjustRightInd w:val="0"/>
              <w:spacing w:after="240"/>
              <w:rPr>
                <w:bCs/>
                <w:color w:val="000000"/>
                <w:sz w:val="16"/>
                <w:szCs w:val="16"/>
              </w:rPr>
            </w:pPr>
            <w:r>
              <w:rPr>
                <w:b/>
                <w:bCs/>
                <w:color w:val="000000"/>
                <w:sz w:val="16"/>
                <w:szCs w:val="16"/>
              </w:rPr>
              <w:t xml:space="preserve">Región </w:t>
            </w:r>
            <w:r>
              <w:rPr>
                <w:bCs/>
                <w:color w:val="000000"/>
                <w:sz w:val="16"/>
                <w:szCs w:val="16"/>
              </w:rPr>
              <w:br/>
              <w:t>Región Metropolitana de Santiago</w:t>
            </w:r>
          </w:p>
        </w:tc>
      </w:tr>
      <w:tr w:rsidR="00000000" w14:paraId="33C7F2D5" w14:textId="77777777">
        <w:trPr>
          <w:trHeight w:val="105"/>
        </w:trPr>
        <w:tc>
          <w:tcPr>
            <w:tcW w:w="4877" w:type="dxa"/>
            <w:hideMark/>
          </w:tcPr>
          <w:p w14:paraId="365CD6F4" w14:textId="5466DE7A"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Ciudad </w:t>
            </w:r>
            <w:r>
              <w:rPr>
                <w:bCs/>
                <w:color w:val="000000"/>
                <w:sz w:val="16"/>
                <w:szCs w:val="16"/>
              </w:rPr>
              <w:br/>
            </w:r>
            <w:r w:rsidR="00652373">
              <w:rPr>
                <w:bCs/>
                <w:color w:val="000000"/>
                <w:sz w:val="16"/>
                <w:szCs w:val="16"/>
              </w:rPr>
              <w:t>Maipú</w:t>
            </w:r>
          </w:p>
        </w:tc>
        <w:tc>
          <w:tcPr>
            <w:tcW w:w="4879" w:type="dxa"/>
            <w:hideMark/>
          </w:tcPr>
          <w:p w14:paraId="22AF226A" w14:textId="77777777" w:rsidR="00000000" w:rsidRDefault="00000000">
            <w:pPr>
              <w:autoSpaceDE w:val="0"/>
              <w:autoSpaceDN w:val="0"/>
              <w:adjustRightInd w:val="0"/>
              <w:rPr>
                <w:bCs/>
                <w:color w:val="000000"/>
                <w:sz w:val="16"/>
                <w:szCs w:val="16"/>
              </w:rPr>
            </w:pPr>
            <w:r>
              <w:rPr>
                <w:b/>
                <w:bCs/>
                <w:color w:val="000000"/>
                <w:sz w:val="16"/>
                <w:szCs w:val="16"/>
              </w:rPr>
              <w:t xml:space="preserve">Tipo de Vacante </w:t>
            </w:r>
            <w:r>
              <w:rPr>
                <w:bCs/>
                <w:color w:val="000000"/>
                <w:sz w:val="16"/>
                <w:szCs w:val="16"/>
              </w:rPr>
              <w:br/>
              <w:t xml:space="preserve">Contrata </w:t>
            </w:r>
          </w:p>
        </w:tc>
      </w:tr>
      <w:tr w:rsidR="00000000" w14:paraId="2699B33B" w14:textId="77777777">
        <w:trPr>
          <w:trHeight w:val="132"/>
        </w:trPr>
        <w:tc>
          <w:tcPr>
            <w:tcW w:w="4877" w:type="dxa"/>
            <w:hideMark/>
          </w:tcPr>
          <w:p w14:paraId="18BBA34F" w14:textId="77777777" w:rsidR="00000000" w:rsidRDefault="00000000">
            <w:pPr>
              <w:shd w:val="clear" w:color="auto" w:fill="FFFFFF"/>
              <w:spacing w:before="100" w:beforeAutospacing="1" w:after="100" w:afterAutospacing="1" w:line="210" w:lineRule="atLeast"/>
              <w:rPr>
                <w:bCs/>
                <w:color w:val="000000"/>
                <w:sz w:val="16"/>
                <w:szCs w:val="16"/>
              </w:rPr>
            </w:pPr>
            <w:r>
              <w:rPr>
                <w:b/>
                <w:bCs/>
                <w:color w:val="000000"/>
                <w:sz w:val="16"/>
                <w:szCs w:val="16"/>
              </w:rPr>
              <w:t xml:space="preserve">Renta Bruta </w:t>
            </w:r>
            <w:r>
              <w:rPr>
                <w:bCs/>
                <w:color w:val="000000"/>
                <w:sz w:val="16"/>
                <w:szCs w:val="16"/>
              </w:rPr>
              <w:br/>
              <w:t xml:space="preserve">3.098.089 </w:t>
            </w:r>
          </w:p>
        </w:tc>
        <w:tc>
          <w:tcPr>
            <w:tcW w:w="4879" w:type="dxa"/>
            <w:hideMark/>
          </w:tcPr>
          <w:p w14:paraId="7174BD93" w14:textId="77777777" w:rsidR="00000000" w:rsidRDefault="00000000">
            <w:pPr>
              <w:autoSpaceDE w:val="0"/>
              <w:autoSpaceDN w:val="0"/>
              <w:adjustRightInd w:val="0"/>
              <w:rPr>
                <w:bCs/>
                <w:color w:val="000000"/>
                <w:sz w:val="16"/>
                <w:szCs w:val="16"/>
              </w:rPr>
            </w:pPr>
            <w:r>
              <w:rPr>
                <w:bCs/>
                <w:color w:val="000000"/>
                <w:sz w:val="16"/>
                <w:szCs w:val="16"/>
              </w:rPr>
              <w:t> </w:t>
            </w:r>
          </w:p>
        </w:tc>
      </w:tr>
    </w:tbl>
    <w:p w14:paraId="717D979A" w14:textId="77777777" w:rsidR="00000000" w:rsidRDefault="00000000">
      <w:pPr>
        <w:autoSpaceDE w:val="0"/>
        <w:autoSpaceDN w:val="0"/>
        <w:adjustRightInd w:val="0"/>
        <w:rPr>
          <w:bCs/>
          <w:color w:val="000000"/>
          <w:sz w:val="16"/>
          <w:szCs w:val="16"/>
        </w:rPr>
      </w:pPr>
      <w:r>
        <w:rPr>
          <w:bCs/>
          <w:color w:val="000000"/>
          <w:sz w:val="16"/>
          <w:szCs w:val="16"/>
        </w:rPr>
        <w:br/>
      </w:r>
      <w:r>
        <w:rPr>
          <w:b/>
          <w:bCs/>
          <w:color w:val="000000"/>
          <w:sz w:val="16"/>
          <w:szCs w:val="16"/>
        </w:rPr>
        <w:t xml:space="preserve">Condiciones </w:t>
      </w:r>
    </w:p>
    <w:p w14:paraId="7A2DDF7C" w14:textId="77777777" w:rsidR="00000000" w:rsidRDefault="00000000">
      <w:pPr>
        <w:rPr>
          <w:rFonts w:eastAsia="Times New Roman"/>
          <w:bCs/>
          <w:color w:val="000000"/>
          <w:sz w:val="16"/>
          <w:szCs w:val="16"/>
        </w:rPr>
      </w:pPr>
      <w:r>
        <w:rPr>
          <w:rStyle w:val="Textoennegrita"/>
          <w:rFonts w:ascii="Calibri" w:eastAsia="Times New Roman" w:hAnsi="Calibri" w:cs="Calibri"/>
          <w:color w:val="002060"/>
          <w:sz w:val="20"/>
          <w:szCs w:val="20"/>
        </w:rPr>
        <w:t>MODALIDAD A CONTRATA, LEY N°19.664, JORNADA DIURNA 44 HORAS, ESTAMENTO PROFESIONAL, LETRA K DE LA ESCALA DE REMUNERACIONES DEL CRS MAIPÚ, 1 VACANTE</w:t>
      </w:r>
      <w:r>
        <w:rPr>
          <w:rFonts w:eastAsia="Times New Roman"/>
          <w:bCs/>
          <w:color w:val="000000"/>
          <w:sz w:val="17"/>
          <w:szCs w:val="17"/>
        </w:rPr>
        <w:t xml:space="preserve"> </w:t>
      </w:r>
    </w:p>
    <w:p w14:paraId="4CE391A8"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Objetivo del cargo</w:t>
      </w:r>
    </w:p>
    <w:p w14:paraId="5157AC60" w14:textId="3749C827" w:rsidR="00000000" w:rsidRDefault="00000000">
      <w:pPr>
        <w:pStyle w:val="NormalWeb"/>
        <w:rPr>
          <w:bCs/>
          <w:color w:val="000000"/>
          <w:lang w:val="es-CL"/>
        </w:rPr>
      </w:pPr>
      <w:r>
        <w:rPr>
          <w:rFonts w:ascii="Calibri" w:hAnsi="Calibri" w:cs="Calibri"/>
          <w:bCs/>
          <w:color w:val="000000"/>
          <w:sz w:val="22"/>
          <w:szCs w:val="22"/>
          <w:lang w:val="es-CL"/>
        </w:rPr>
        <w:t xml:space="preserve">Responsable de la evaluación farmacoterapéutica de pacientes hospitalizados en la Unidad de Media Estadía del Centro de Referencia de Salud de Maipú, velando por la adecuada selección y uso racional de medicamentos, con especial </w:t>
      </w:r>
      <w:r w:rsidR="00652373">
        <w:rPr>
          <w:rFonts w:ascii="Calibri" w:hAnsi="Calibri" w:cs="Calibri"/>
          <w:bCs/>
          <w:color w:val="000000"/>
          <w:sz w:val="22"/>
          <w:szCs w:val="22"/>
          <w:lang w:val="es-CL"/>
        </w:rPr>
        <w:t>énfasis</w:t>
      </w:r>
      <w:r>
        <w:rPr>
          <w:rFonts w:ascii="Calibri" w:hAnsi="Calibri" w:cs="Calibri"/>
          <w:bCs/>
          <w:color w:val="000000"/>
          <w:sz w:val="22"/>
          <w:szCs w:val="22"/>
          <w:lang w:val="es-CL"/>
        </w:rPr>
        <w:t xml:space="preserve"> en terapia antibiótica y antimicrobiana, implementando herramientas para mejorar el uso de </w:t>
      </w:r>
      <w:proofErr w:type="gramStart"/>
      <w:r>
        <w:rPr>
          <w:rFonts w:ascii="Calibri" w:hAnsi="Calibri" w:cs="Calibri"/>
          <w:bCs/>
          <w:color w:val="000000"/>
          <w:sz w:val="22"/>
          <w:szCs w:val="22"/>
          <w:lang w:val="es-CL"/>
        </w:rPr>
        <w:t>los mismos</w:t>
      </w:r>
      <w:proofErr w:type="gramEnd"/>
      <w:r>
        <w:rPr>
          <w:rFonts w:ascii="Calibri" w:hAnsi="Calibri" w:cs="Calibri"/>
          <w:bCs/>
          <w:color w:val="000000"/>
          <w:sz w:val="22"/>
          <w:szCs w:val="22"/>
          <w:lang w:val="es-CL"/>
        </w:rPr>
        <w:t xml:space="preserve">, apoyando los Programas de Optimización del Uso de Antimicrobianos (PROA). A la vez, garantizar la seguridad y calidad de los procesos en el </w:t>
      </w:r>
      <w:r w:rsidR="00652373">
        <w:rPr>
          <w:rFonts w:ascii="Calibri" w:hAnsi="Calibri" w:cs="Calibri"/>
          <w:bCs/>
          <w:color w:val="000000"/>
          <w:sz w:val="22"/>
          <w:szCs w:val="22"/>
          <w:lang w:val="es-CL"/>
        </w:rPr>
        <w:t>ámbito</w:t>
      </w:r>
      <w:r>
        <w:rPr>
          <w:rFonts w:ascii="Calibri" w:hAnsi="Calibri" w:cs="Calibri"/>
          <w:bCs/>
          <w:color w:val="000000"/>
          <w:sz w:val="22"/>
          <w:szCs w:val="22"/>
          <w:lang w:val="es-CL"/>
        </w:rPr>
        <w:t xml:space="preserve"> farmacéutico en un ambiente hospitalario, tanto en atención cerrada como atención ambulatoria y ser referente de Farmacovigilancia ante el Instituto de Salud Pública. Asumir la subrogancia de la </w:t>
      </w:r>
      <w:r w:rsidR="00652373">
        <w:rPr>
          <w:rFonts w:ascii="Calibri" w:hAnsi="Calibri" w:cs="Calibri"/>
          <w:bCs/>
          <w:color w:val="000000"/>
          <w:sz w:val="22"/>
          <w:szCs w:val="22"/>
          <w:lang w:val="es-CL"/>
        </w:rPr>
        <w:t>jefatura</w:t>
      </w:r>
      <w:r>
        <w:rPr>
          <w:rFonts w:ascii="Calibri" w:hAnsi="Calibri" w:cs="Calibri"/>
          <w:bCs/>
          <w:color w:val="000000"/>
          <w:sz w:val="22"/>
          <w:szCs w:val="22"/>
          <w:lang w:val="es-CL"/>
        </w:rPr>
        <w:t xml:space="preserve"> de la Unidad de Farmacia, cuando así se requiera, sin que esto afecte el normal desempeño de sus otras funciones como Farmacéutico Clínico-PROA y Calidad.</w:t>
      </w:r>
      <w:r>
        <w:rPr>
          <w:bCs/>
          <w:color w:val="000000"/>
          <w:lang w:val="es-CL"/>
        </w:rPr>
        <w:t xml:space="preserve"> </w:t>
      </w:r>
    </w:p>
    <w:p w14:paraId="2B7CD09E"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Descripción del Cargo </w:t>
      </w:r>
    </w:p>
    <w:p w14:paraId="6E5C0CE5"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Supervisar el procedimiento de dispensación de medicamentos en dosis diaria.</w:t>
      </w:r>
    </w:p>
    <w:p w14:paraId="5C67A2AD"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Revisión de fichas clínicas.</w:t>
      </w:r>
    </w:p>
    <w:p w14:paraId="0ED8BFDC"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Revisión de indicaciones farmacológicas, con especial énfasis en la selección y uso de antimicrobianos.</w:t>
      </w:r>
    </w:p>
    <w:p w14:paraId="2C451BD0" w14:textId="51556AD6"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 xml:space="preserve">Revisión de </w:t>
      </w:r>
      <w:r w:rsidR="00652373">
        <w:rPr>
          <w:rFonts w:ascii="Calibri" w:eastAsia="Times New Roman" w:hAnsi="Calibri" w:cs="Calibri"/>
          <w:bCs/>
          <w:color w:val="000000"/>
          <w:sz w:val="22"/>
          <w:szCs w:val="22"/>
        </w:rPr>
        <w:t>exámenes</w:t>
      </w:r>
      <w:r>
        <w:rPr>
          <w:rFonts w:ascii="Calibri" w:eastAsia="Times New Roman" w:hAnsi="Calibri" w:cs="Calibri"/>
          <w:bCs/>
          <w:color w:val="000000"/>
          <w:sz w:val="22"/>
          <w:szCs w:val="22"/>
        </w:rPr>
        <w:t xml:space="preserve"> de laboratorio.</w:t>
      </w:r>
    </w:p>
    <w:p w14:paraId="7248B993"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Mantener registro de intervenciones farmacéuticas actualizado.</w:t>
      </w:r>
    </w:p>
    <w:p w14:paraId="6B043363"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Participar en las actividades relacionadas con el Programa de Optimización y Uso de Antimicrobianos PROA.</w:t>
      </w:r>
    </w:p>
    <w:p w14:paraId="1B3447E4" w14:textId="28C8065C"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 xml:space="preserve">Elaborar protocolos relacionados con farmacia </w:t>
      </w:r>
      <w:r w:rsidR="00652373">
        <w:rPr>
          <w:rFonts w:ascii="Calibri" w:eastAsia="Times New Roman" w:hAnsi="Calibri" w:cs="Calibri"/>
          <w:bCs/>
          <w:color w:val="000000"/>
          <w:sz w:val="22"/>
          <w:szCs w:val="22"/>
        </w:rPr>
        <w:t>clínica</w:t>
      </w:r>
      <w:r>
        <w:rPr>
          <w:rFonts w:ascii="Calibri" w:eastAsia="Times New Roman" w:hAnsi="Calibri" w:cs="Calibri"/>
          <w:bCs/>
          <w:color w:val="000000"/>
          <w:sz w:val="22"/>
          <w:szCs w:val="22"/>
        </w:rPr>
        <w:t>.</w:t>
      </w:r>
    </w:p>
    <w:p w14:paraId="3FB6B119"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Recolectar y enviar notificaciones de sospechas de reacciones adversas que acontezcan en el establecimiento, dentro de los plazos establecidos en el Reglamento de Sistema Nacional de Control de Productos Farmacéuticos de Uso Humano.</w:t>
      </w:r>
    </w:p>
    <w:p w14:paraId="5EB4D98E"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Llevar un registro de los casos de sospechas de reacciones adversas a medicamentos detectados en el establecimiento.</w:t>
      </w:r>
    </w:p>
    <w:p w14:paraId="5B0B15BE"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Recibir y difundir, en la medida de lo posible, información sobre seguridad de medicamentos enviada desde el Instituto de Salud Pública u obtenida desde otras fuentes autorizadas.</w:t>
      </w:r>
    </w:p>
    <w:p w14:paraId="534E0F36"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Capacitar al profesional de salud en materias de farmacovigilancia y notificaciones de Reacciones Adversas a Medicamentos RAM.</w:t>
      </w:r>
    </w:p>
    <w:p w14:paraId="74AA67C0"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lastRenderedPageBreak/>
        <w:t>Ejercer la subrrogancia de la jefatura de la Unidad de Farmacia, cuando así se requiera, sin que esto afecte el normal desempeño de sus otras funciones como farmacéutico clínico-PROA y Calidad.</w:t>
      </w:r>
    </w:p>
    <w:p w14:paraId="485B287C"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Otras funciones encomendadas por su jefatura directa, la Subdirección de Gestión Clínica y la Dirección del Centro de Referencia de Salud de Maipú.</w:t>
      </w:r>
    </w:p>
    <w:p w14:paraId="6C2D0113"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Dirigir y coordinar las actividades de mejora continua de calidad en la Unidad de Farmacia.</w:t>
      </w:r>
    </w:p>
    <w:p w14:paraId="158F228D" w14:textId="11A1FDD6"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 xml:space="preserve">Colaborar en la elaboración de las metas de calidad en la Unidad, de acuerdo con las políticas de calidad </w:t>
      </w:r>
      <w:r w:rsidR="00652373">
        <w:rPr>
          <w:rFonts w:ascii="Calibri" w:eastAsia="Times New Roman" w:hAnsi="Calibri" w:cs="Calibri"/>
          <w:bCs/>
          <w:color w:val="000000"/>
          <w:sz w:val="22"/>
          <w:szCs w:val="22"/>
        </w:rPr>
        <w:t>institucionales</w:t>
      </w:r>
      <w:r>
        <w:rPr>
          <w:rFonts w:ascii="Calibri" w:eastAsia="Times New Roman" w:hAnsi="Calibri" w:cs="Calibri"/>
          <w:bCs/>
          <w:color w:val="000000"/>
          <w:sz w:val="22"/>
          <w:szCs w:val="22"/>
        </w:rPr>
        <w:t>.</w:t>
      </w:r>
    </w:p>
    <w:p w14:paraId="2F2D3D63"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Colaborar y/o elaborar protocolos relacionados con características de acreditación y similares.</w:t>
      </w:r>
    </w:p>
    <w:p w14:paraId="7598C159" w14:textId="54303943"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 xml:space="preserve">Participar en el proceso de autoevaluación anual de cumplimiento de las </w:t>
      </w:r>
      <w:r w:rsidR="00652373">
        <w:rPr>
          <w:rFonts w:ascii="Calibri" w:eastAsia="Times New Roman" w:hAnsi="Calibri" w:cs="Calibri"/>
          <w:bCs/>
          <w:color w:val="000000"/>
          <w:sz w:val="22"/>
          <w:szCs w:val="22"/>
        </w:rPr>
        <w:t>características</w:t>
      </w:r>
      <w:r>
        <w:rPr>
          <w:rFonts w:ascii="Calibri" w:eastAsia="Times New Roman" w:hAnsi="Calibri" w:cs="Calibri"/>
          <w:bCs/>
          <w:color w:val="000000"/>
          <w:sz w:val="22"/>
          <w:szCs w:val="22"/>
        </w:rPr>
        <w:t xml:space="preserve"> de acreditación.</w:t>
      </w:r>
    </w:p>
    <w:p w14:paraId="003E70FE"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Identificar, notificar, analizar y desarrollar planes de mejora de eventos adversos relacionados con medicamentos.</w:t>
      </w:r>
    </w:p>
    <w:p w14:paraId="768164E9" w14:textId="158CD019"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 xml:space="preserve">Realizar la evaluación </w:t>
      </w:r>
      <w:r w:rsidR="00652373">
        <w:rPr>
          <w:rFonts w:ascii="Calibri" w:eastAsia="Times New Roman" w:hAnsi="Calibri" w:cs="Calibri"/>
          <w:bCs/>
          <w:color w:val="000000"/>
          <w:sz w:val="22"/>
          <w:szCs w:val="22"/>
        </w:rPr>
        <w:t>periódica</w:t>
      </w:r>
      <w:r>
        <w:rPr>
          <w:rFonts w:ascii="Calibri" w:eastAsia="Times New Roman" w:hAnsi="Calibri" w:cs="Calibri"/>
          <w:bCs/>
          <w:color w:val="000000"/>
          <w:sz w:val="22"/>
          <w:szCs w:val="22"/>
        </w:rPr>
        <w:t xml:space="preserve"> de los indicadores de calidad y acreditación de la Unidad.</w:t>
      </w:r>
    </w:p>
    <w:p w14:paraId="5D093807"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shd w:val="clear" w:color="auto" w:fill="FFFFFF"/>
        </w:rPr>
        <w:t>Participar en actividades asistencial-docentes en campo clínico según lineamientos institucionales, resguardando seguridad, confidencialidad y normas aplicables</w:t>
      </w:r>
    </w:p>
    <w:p w14:paraId="45B756A9"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Otras funciones encomendadas por su jefatura directa, la Subdirección de Gestión Clínica y la Dirección del Centro de Referencia de Salud de Maipú.</w:t>
      </w:r>
    </w:p>
    <w:p w14:paraId="61FEE664" w14:textId="56180EEB" w:rsidR="00000000" w:rsidRDefault="00000000">
      <w:pPr>
        <w:shd w:val="clear" w:color="auto" w:fill="FFFFFF"/>
        <w:spacing w:line="210" w:lineRule="atLeast"/>
        <w:rPr>
          <w:bCs/>
          <w:color w:val="000000"/>
          <w:sz w:val="16"/>
          <w:szCs w:val="16"/>
        </w:rPr>
      </w:pPr>
      <w:r>
        <w:rPr>
          <w:bCs/>
          <w:color w:val="666666"/>
          <w:sz w:val="27"/>
          <w:szCs w:val="27"/>
        </w:rPr>
        <w:t>Perfil del Cargo</w:t>
      </w:r>
      <w:r>
        <w:rPr>
          <w:bCs/>
          <w:color w:val="000000"/>
          <w:sz w:val="16"/>
          <w:szCs w:val="16"/>
        </w:rPr>
        <w:br/>
      </w:r>
      <w:r>
        <w:rPr>
          <w:bCs/>
          <w:color w:val="000000"/>
          <w:sz w:val="16"/>
          <w:szCs w:val="16"/>
        </w:rPr>
        <w:br/>
      </w:r>
      <w:r>
        <w:rPr>
          <w:b/>
          <w:bCs/>
          <w:color w:val="666666"/>
          <w:sz w:val="18"/>
          <w:szCs w:val="18"/>
        </w:rPr>
        <w:t>Los siguientes elementos componen el Perfil del Cargo y servirán para evaluar a los/las postulantes.</w:t>
      </w:r>
      <w:r>
        <w:rPr>
          <w:bCs/>
          <w:color w:val="000000"/>
          <w:sz w:val="16"/>
          <w:szCs w:val="16"/>
        </w:rPr>
        <w:br/>
      </w:r>
      <w:r>
        <w:rPr>
          <w:bCs/>
          <w:color w:val="000000"/>
          <w:sz w:val="16"/>
          <w:szCs w:val="16"/>
        </w:rPr>
        <w:br/>
      </w:r>
      <w:r>
        <w:rPr>
          <w:b/>
          <w:bCs/>
          <w:color w:val="000000"/>
          <w:sz w:val="16"/>
          <w:szCs w:val="16"/>
        </w:rPr>
        <w:t xml:space="preserve">Formación Educacional </w:t>
      </w:r>
    </w:p>
    <w:p w14:paraId="0AD98537" w14:textId="77777777" w:rsidR="00000000" w:rsidRDefault="00000000">
      <w:pPr>
        <w:pStyle w:val="NormalWeb"/>
        <w:rPr>
          <w:bCs/>
          <w:color w:val="000000"/>
          <w:lang w:val="es-CL"/>
        </w:rPr>
      </w:pPr>
      <w:r>
        <w:rPr>
          <w:rFonts w:ascii="Calibri" w:hAnsi="Calibri" w:cs="Calibri"/>
          <w:bCs/>
          <w:color w:val="000000"/>
          <w:sz w:val="22"/>
          <w:szCs w:val="22"/>
          <w:lang w:val="es-CL"/>
        </w:rPr>
        <w:t>Título profesional de Químico Farmacéutico, otorgado por una universidad reconocida por el Estado de Chile o validado conforme a la normativa vigente. Poseer registro nacional de prestadores individuales de salud.</w:t>
      </w:r>
      <w:r>
        <w:rPr>
          <w:bCs/>
          <w:color w:val="000000"/>
          <w:lang w:val="es-CL"/>
        </w:rPr>
        <w:t xml:space="preserve"> </w:t>
      </w:r>
    </w:p>
    <w:p w14:paraId="55D83E42"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Especialización y/o Capacitación </w:t>
      </w:r>
    </w:p>
    <w:p w14:paraId="63D95B6B" w14:textId="77777777" w:rsidR="00000000" w:rsidRDefault="00000000">
      <w:pPr>
        <w:rPr>
          <w:rFonts w:eastAsia="Times New Roman"/>
          <w:bCs/>
          <w:color w:val="000000"/>
          <w:sz w:val="17"/>
          <w:szCs w:val="17"/>
        </w:rPr>
      </w:pPr>
      <w:r>
        <w:rPr>
          <w:rStyle w:val="Textoennegrita"/>
          <w:rFonts w:ascii="Calibri" w:eastAsia="Times New Roman" w:hAnsi="Calibri" w:cs="Calibri"/>
          <w:color w:val="000000"/>
          <w:sz w:val="22"/>
          <w:szCs w:val="22"/>
        </w:rPr>
        <w:t>Conocimientos excluyentes:</w:t>
      </w:r>
      <w:r>
        <w:rPr>
          <w:rFonts w:eastAsia="Times New Roman"/>
          <w:bCs/>
          <w:color w:val="000000"/>
          <w:sz w:val="17"/>
          <w:szCs w:val="17"/>
        </w:rPr>
        <w:t xml:space="preserve"> </w:t>
      </w:r>
    </w:p>
    <w:p w14:paraId="2494F1DD"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Curso de aseguramiento de la calidad y seguridad del paciente.</w:t>
      </w:r>
    </w:p>
    <w:p w14:paraId="010F6489"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Curso de Farmacovigilancia.</w:t>
      </w:r>
    </w:p>
    <w:p w14:paraId="4690868E"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Diplomado en Farmacia Clínica.</w:t>
      </w:r>
    </w:p>
    <w:p w14:paraId="3186C490"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Diplomado en Antibióticos y Terapia antimicrobiana.</w:t>
      </w:r>
    </w:p>
    <w:p w14:paraId="1A2F987D"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Curso de prevención y control de las Infecciones Asociadas a la Atención en Salud IAAS.</w:t>
      </w:r>
    </w:p>
    <w:p w14:paraId="2EF9B486" w14:textId="77777777" w:rsidR="00000000" w:rsidRDefault="00000000">
      <w:pPr>
        <w:rPr>
          <w:rFonts w:eastAsia="Times New Roman"/>
          <w:bCs/>
          <w:color w:val="000000"/>
          <w:sz w:val="17"/>
          <w:szCs w:val="17"/>
        </w:rPr>
      </w:pPr>
      <w:r>
        <w:rPr>
          <w:rStyle w:val="Textoennegrita"/>
          <w:rFonts w:ascii="Calibri" w:eastAsia="Times New Roman" w:hAnsi="Calibri" w:cs="Calibri"/>
          <w:color w:val="000000"/>
          <w:sz w:val="22"/>
          <w:szCs w:val="22"/>
        </w:rPr>
        <w:t>Conocimientos deseables:</w:t>
      </w:r>
      <w:r>
        <w:rPr>
          <w:rFonts w:eastAsia="Times New Roman"/>
          <w:bCs/>
          <w:color w:val="000000"/>
          <w:sz w:val="17"/>
          <w:szCs w:val="17"/>
        </w:rPr>
        <w:t xml:space="preserve">   </w:t>
      </w:r>
    </w:p>
    <w:p w14:paraId="3C8F4C9A"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Curso para la implementación del Programa de Optimización y Uso de Antimicrobianos PROA (o símil).</w:t>
      </w:r>
    </w:p>
    <w:p w14:paraId="607A7434"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Curso o capacitación en conceptos básicos de oftalmología.</w:t>
      </w:r>
    </w:p>
    <w:p w14:paraId="54C8DAF0"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2"/>
          <w:szCs w:val="22"/>
        </w:rPr>
        <w:t>Curso Excel, nivel básico.</w:t>
      </w:r>
    </w:p>
    <w:p w14:paraId="3884002E"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Experiencia sector público / sector privado </w:t>
      </w:r>
    </w:p>
    <w:p w14:paraId="3B07BA21" w14:textId="77777777" w:rsidR="00000000" w:rsidRDefault="00000000">
      <w:pPr>
        <w:rPr>
          <w:rFonts w:eastAsia="Times New Roman"/>
          <w:bCs/>
          <w:color w:val="000000"/>
          <w:sz w:val="16"/>
          <w:szCs w:val="16"/>
        </w:rPr>
      </w:pPr>
      <w:r>
        <w:rPr>
          <w:rFonts w:ascii="Calibri" w:eastAsia="Times New Roman" w:hAnsi="Calibri" w:cs="Calibri"/>
          <w:bCs/>
          <w:color w:val="000000"/>
          <w:sz w:val="22"/>
          <w:szCs w:val="22"/>
        </w:rPr>
        <w:t>Mínimo 5 años de experiencia laboral en farmacia clínica o asistencial en hospitales públicos o privados.</w:t>
      </w:r>
      <w:r>
        <w:rPr>
          <w:rFonts w:eastAsia="Times New Roman"/>
          <w:bCs/>
          <w:color w:val="000000"/>
          <w:sz w:val="17"/>
          <w:szCs w:val="17"/>
        </w:rPr>
        <w:t xml:space="preserve"> </w:t>
      </w:r>
    </w:p>
    <w:p w14:paraId="327C6087"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Competencias </w:t>
      </w:r>
    </w:p>
    <w:p w14:paraId="688FDB08" w14:textId="77777777" w:rsidR="00000000" w:rsidRDefault="00000000">
      <w:pPr>
        <w:rPr>
          <w:rFonts w:eastAsia="Times New Roman"/>
          <w:bCs/>
          <w:color w:val="000000"/>
          <w:sz w:val="17"/>
          <w:szCs w:val="17"/>
        </w:rPr>
      </w:pPr>
      <w:r>
        <w:rPr>
          <w:rFonts w:ascii="Calibri" w:eastAsia="Times New Roman" w:hAnsi="Calibri" w:cs="Calibri"/>
          <w:bCs/>
          <w:color w:val="000000"/>
          <w:sz w:val="22"/>
          <w:szCs w:val="22"/>
        </w:rPr>
        <w:t>El nivel destacado para cada competencia corresponde al Nivel definido como deseable para el presente Perfil.</w:t>
      </w:r>
      <w:r>
        <w:rPr>
          <w:rFonts w:eastAsia="Times New Roman"/>
          <w:bCs/>
          <w:color w:val="000000"/>
          <w:sz w:val="17"/>
          <w:szCs w:val="17"/>
        </w:rPr>
        <w:br/>
      </w:r>
      <w:r>
        <w:rPr>
          <w:rStyle w:val="Textoennegrita"/>
          <w:rFonts w:ascii="Calibri" w:eastAsia="Times New Roman" w:hAnsi="Calibri" w:cs="Calibri"/>
          <w:color w:val="000000"/>
          <w:sz w:val="22"/>
          <w:szCs w:val="22"/>
        </w:rPr>
        <w:t xml:space="preserve">Escala: </w:t>
      </w:r>
      <w:r>
        <w:rPr>
          <w:rFonts w:eastAsia="Times New Roman"/>
          <w:bCs/>
          <w:color w:val="000000"/>
          <w:sz w:val="17"/>
          <w:szCs w:val="17"/>
        </w:rPr>
        <w:br/>
      </w:r>
      <w:r>
        <w:rPr>
          <w:rFonts w:ascii="Calibri" w:eastAsia="Times New Roman" w:hAnsi="Calibri" w:cs="Calibri"/>
          <w:bCs/>
          <w:color w:val="000000"/>
          <w:sz w:val="22"/>
          <w:szCs w:val="22"/>
        </w:rPr>
        <w:t xml:space="preserve">Nivel 4: Destacado nivel de dominio de la competencia </w:t>
      </w:r>
      <w:r>
        <w:rPr>
          <w:rFonts w:eastAsia="Times New Roman"/>
          <w:bCs/>
          <w:color w:val="000000"/>
          <w:sz w:val="17"/>
          <w:szCs w:val="17"/>
        </w:rPr>
        <w:br/>
      </w:r>
      <w:r>
        <w:rPr>
          <w:rFonts w:ascii="Calibri" w:eastAsia="Times New Roman" w:hAnsi="Calibri" w:cs="Calibri"/>
          <w:bCs/>
          <w:color w:val="000000"/>
          <w:sz w:val="22"/>
          <w:szCs w:val="22"/>
        </w:rPr>
        <w:lastRenderedPageBreak/>
        <w:t xml:space="preserve">Nivel 3: Adecuado nivel de dominio de la competencia </w:t>
      </w:r>
      <w:r>
        <w:rPr>
          <w:rFonts w:eastAsia="Times New Roman"/>
          <w:bCs/>
          <w:color w:val="000000"/>
          <w:sz w:val="17"/>
          <w:szCs w:val="17"/>
        </w:rPr>
        <w:br/>
      </w:r>
      <w:r>
        <w:rPr>
          <w:rFonts w:ascii="Calibri" w:eastAsia="Times New Roman" w:hAnsi="Calibri" w:cs="Calibri"/>
          <w:bCs/>
          <w:color w:val="000000"/>
          <w:sz w:val="22"/>
          <w:szCs w:val="22"/>
        </w:rPr>
        <w:t xml:space="preserve">Nivel 2: Moderado nivel de dominio de la competencia </w:t>
      </w:r>
      <w:r>
        <w:rPr>
          <w:rFonts w:eastAsia="Times New Roman"/>
          <w:bCs/>
          <w:color w:val="000000"/>
          <w:sz w:val="17"/>
          <w:szCs w:val="17"/>
        </w:rPr>
        <w:br/>
      </w:r>
      <w:r>
        <w:rPr>
          <w:rFonts w:ascii="Calibri" w:eastAsia="Times New Roman" w:hAnsi="Calibri" w:cs="Calibri"/>
          <w:bCs/>
          <w:color w:val="000000"/>
          <w:sz w:val="22"/>
          <w:szCs w:val="22"/>
        </w:rPr>
        <w:t>Nivel 1: Básico nivel de dominio de la competencia</w:t>
      </w:r>
      <w:r>
        <w:rPr>
          <w:rFonts w:eastAsia="Times New Roman"/>
          <w:bCs/>
          <w:color w:val="000000"/>
          <w:sz w:val="17"/>
          <w:szCs w:val="17"/>
        </w:rPr>
        <w:t xml:space="preserve"> </w:t>
      </w:r>
    </w:p>
    <w:tbl>
      <w:tblPr>
        <w:tblW w:w="8835" w:type="dxa"/>
        <w:tblCellMar>
          <w:top w:w="15" w:type="dxa"/>
          <w:left w:w="15" w:type="dxa"/>
          <w:bottom w:w="15" w:type="dxa"/>
          <w:right w:w="15" w:type="dxa"/>
        </w:tblCellMar>
        <w:tblLook w:val="04A0" w:firstRow="1" w:lastRow="0" w:firstColumn="1" w:lastColumn="0" w:noHBand="0" w:noVBand="1"/>
      </w:tblPr>
      <w:tblGrid>
        <w:gridCol w:w="2187"/>
        <w:gridCol w:w="2187"/>
        <w:gridCol w:w="689"/>
        <w:gridCol w:w="3772"/>
      </w:tblGrid>
      <w:tr w:rsidR="00000000" w14:paraId="37DFEAE7" w14:textId="77777777">
        <w:trPr>
          <w:trHeight w:val="315"/>
        </w:trPr>
        <w:tc>
          <w:tcPr>
            <w:tcW w:w="4380" w:type="dxa"/>
            <w:gridSpan w:val="2"/>
            <w:tcBorders>
              <w:top w:val="single" w:sz="6" w:space="0" w:color="000000"/>
              <w:left w:val="single" w:sz="6" w:space="0" w:color="000000"/>
              <w:bottom w:val="single" w:sz="6" w:space="0" w:color="000000"/>
              <w:right w:val="single" w:sz="6" w:space="0" w:color="000000"/>
            </w:tcBorders>
            <w:shd w:val="clear" w:color="auto" w:fill="0070C0"/>
            <w:vAlign w:val="center"/>
            <w:hideMark/>
          </w:tcPr>
          <w:p w14:paraId="71D2A063" w14:textId="77777777" w:rsidR="00000000" w:rsidRDefault="00000000">
            <w:pPr>
              <w:pStyle w:val="NormalWeb"/>
              <w:jc w:val="center"/>
            </w:pPr>
            <w:r>
              <w:rPr>
                <w:rStyle w:val="Textoennegrita"/>
                <w:rFonts w:ascii="Calibri" w:hAnsi="Calibri" w:cs="Calibri"/>
                <w:color w:val="FFFFFF"/>
                <w:sz w:val="16"/>
                <w:szCs w:val="16"/>
              </w:rPr>
              <w:t>COMPETENCIAS TRANSVERSALES</w:t>
            </w:r>
            <w:r>
              <w:t xml:space="preserve"> </w:t>
            </w:r>
          </w:p>
        </w:tc>
        <w:tc>
          <w:tcPr>
            <w:tcW w:w="690" w:type="dxa"/>
            <w:tcBorders>
              <w:top w:val="single" w:sz="6" w:space="0" w:color="000000"/>
              <w:left w:val="nil"/>
              <w:bottom w:val="single" w:sz="6" w:space="0" w:color="000000"/>
              <w:right w:val="single" w:sz="6" w:space="0" w:color="000000"/>
            </w:tcBorders>
            <w:shd w:val="clear" w:color="auto" w:fill="0070C0"/>
            <w:vAlign w:val="center"/>
            <w:hideMark/>
          </w:tcPr>
          <w:p w14:paraId="385FF80B" w14:textId="77777777" w:rsidR="00000000" w:rsidRDefault="00000000">
            <w:pPr>
              <w:pStyle w:val="NormalWeb"/>
              <w:jc w:val="center"/>
            </w:pPr>
            <w:r>
              <w:rPr>
                <w:rStyle w:val="Textoennegrita"/>
                <w:rFonts w:ascii="Calibri" w:hAnsi="Calibri" w:cs="Calibri"/>
                <w:color w:val="FFFFFF"/>
                <w:sz w:val="16"/>
                <w:szCs w:val="16"/>
              </w:rPr>
              <w:t>Nivel</w:t>
            </w:r>
            <w:r>
              <w:t xml:space="preserve"> </w:t>
            </w:r>
          </w:p>
        </w:tc>
        <w:tc>
          <w:tcPr>
            <w:tcW w:w="3780" w:type="dxa"/>
            <w:tcBorders>
              <w:top w:val="single" w:sz="6" w:space="0" w:color="000000"/>
              <w:left w:val="nil"/>
              <w:bottom w:val="single" w:sz="6" w:space="0" w:color="000000"/>
              <w:right w:val="single" w:sz="6" w:space="0" w:color="000000"/>
            </w:tcBorders>
            <w:shd w:val="clear" w:color="auto" w:fill="0070C0"/>
            <w:vAlign w:val="center"/>
            <w:hideMark/>
          </w:tcPr>
          <w:p w14:paraId="54BB7E0F" w14:textId="77777777" w:rsidR="00000000" w:rsidRDefault="00000000">
            <w:pPr>
              <w:pStyle w:val="NormalWeb"/>
              <w:jc w:val="center"/>
            </w:pPr>
            <w:r>
              <w:rPr>
                <w:rStyle w:val="Textoennegrita"/>
                <w:rFonts w:ascii="Calibri" w:hAnsi="Calibri" w:cs="Calibri"/>
                <w:color w:val="FFFFFF"/>
                <w:sz w:val="16"/>
                <w:szCs w:val="16"/>
              </w:rPr>
              <w:t>Descripción Conductual esperada</w:t>
            </w:r>
            <w:r>
              <w:t xml:space="preserve"> </w:t>
            </w:r>
          </w:p>
        </w:tc>
      </w:tr>
      <w:tr w:rsidR="00000000" w14:paraId="63CE8702" w14:textId="77777777">
        <w:trPr>
          <w:trHeight w:val="255"/>
        </w:trPr>
        <w:tc>
          <w:tcPr>
            <w:tcW w:w="2190" w:type="dxa"/>
            <w:vMerge w:val="restart"/>
            <w:tcBorders>
              <w:top w:val="nil"/>
              <w:left w:val="single" w:sz="6" w:space="0" w:color="000000"/>
              <w:bottom w:val="single" w:sz="6" w:space="0" w:color="000000"/>
              <w:right w:val="single" w:sz="6" w:space="0" w:color="000000"/>
            </w:tcBorders>
            <w:vAlign w:val="center"/>
            <w:hideMark/>
          </w:tcPr>
          <w:p w14:paraId="24437783" w14:textId="77777777" w:rsidR="00000000" w:rsidRDefault="00000000">
            <w:pPr>
              <w:pStyle w:val="NormalWeb"/>
              <w:jc w:val="center"/>
            </w:pPr>
            <w:r>
              <w:rPr>
                <w:rStyle w:val="Textoennegrita"/>
                <w:rFonts w:ascii="Calibri" w:hAnsi="Calibri" w:cs="Calibri"/>
                <w:sz w:val="16"/>
                <w:szCs w:val="16"/>
              </w:rPr>
              <w:t>Orientación a la Calidad</w:t>
            </w:r>
            <w:r>
              <w:rPr>
                <w:rFonts w:ascii="Calibri" w:hAnsi="Calibri" w:cs="Calibri"/>
                <w:sz w:val="22"/>
                <w:szCs w:val="22"/>
              </w:rPr>
              <w:br/>
              <w:t> </w:t>
            </w:r>
            <w:r>
              <w:t xml:space="preserve"> </w:t>
            </w:r>
          </w:p>
        </w:tc>
        <w:tc>
          <w:tcPr>
            <w:tcW w:w="2190" w:type="dxa"/>
            <w:vMerge w:val="restart"/>
            <w:tcBorders>
              <w:top w:val="nil"/>
              <w:left w:val="nil"/>
              <w:bottom w:val="single" w:sz="6" w:space="0" w:color="000000"/>
              <w:right w:val="single" w:sz="6" w:space="0" w:color="000000"/>
            </w:tcBorders>
            <w:vAlign w:val="center"/>
            <w:hideMark/>
          </w:tcPr>
          <w:p w14:paraId="4B4C9D07"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Capacidad para desarrollar sus actividades de acuerdo con los estándares establecidos por el CRS Maipú, verificando la oportunidad y calidad de su trabajo, así como ajustando su comportamiento a situaciones de cambios o adversas, logrado aportar, en todo momento, al posicionamiento del CRS Maipú como institución de excelencia.</w:t>
            </w:r>
          </w:p>
        </w:tc>
        <w:tc>
          <w:tcPr>
            <w:tcW w:w="690" w:type="dxa"/>
            <w:vMerge w:val="restart"/>
            <w:tcBorders>
              <w:top w:val="nil"/>
              <w:left w:val="nil"/>
              <w:bottom w:val="single" w:sz="6" w:space="0" w:color="000000"/>
              <w:right w:val="single" w:sz="6" w:space="0" w:color="000000"/>
            </w:tcBorders>
            <w:vAlign w:val="center"/>
            <w:hideMark/>
          </w:tcPr>
          <w:p w14:paraId="5530F779" w14:textId="77777777" w:rsidR="00000000" w:rsidRDefault="00000000">
            <w:pPr>
              <w:pStyle w:val="NormalWeb"/>
              <w:jc w:val="center"/>
            </w:pPr>
            <w:r>
              <w:rPr>
                <w:rFonts w:ascii="Calibri" w:hAnsi="Calibri" w:cs="Calibri"/>
                <w:sz w:val="16"/>
                <w:szCs w:val="16"/>
              </w:rPr>
              <w:t>4</w:t>
            </w:r>
            <w:r>
              <w:rPr>
                <w:rFonts w:ascii="Calibri" w:hAnsi="Calibri" w:cs="Calibri"/>
                <w:sz w:val="22"/>
                <w:szCs w:val="22"/>
              </w:rPr>
              <w:br/>
              <w:t> </w:t>
            </w:r>
            <w:r>
              <w:t xml:space="preserve"> </w:t>
            </w:r>
          </w:p>
        </w:tc>
        <w:tc>
          <w:tcPr>
            <w:tcW w:w="3780" w:type="dxa"/>
            <w:tcBorders>
              <w:top w:val="nil"/>
              <w:left w:val="nil"/>
              <w:bottom w:val="single" w:sz="6" w:space="0" w:color="000000"/>
              <w:right w:val="single" w:sz="6" w:space="0" w:color="000000"/>
            </w:tcBorders>
            <w:vAlign w:val="center"/>
            <w:hideMark/>
          </w:tcPr>
          <w:p w14:paraId="5292C64E"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 xml:space="preserve"> Cumple en tiempo y forma con las tareas que se le imponen, anticipándose a solucionar problemas, incluso aquellos que son imperceptibles por otros. </w:t>
            </w:r>
          </w:p>
        </w:tc>
      </w:tr>
      <w:tr w:rsidR="00000000" w14:paraId="7E75C1E1"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051E4E6B"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76B3078E"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4D35C4A0"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22C519A6"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Inicia acciones para mejorar su desempeño, promoviendo e inspirando en otros el compromiso con la calidad del trabajo.</w:t>
            </w:r>
          </w:p>
        </w:tc>
      </w:tr>
      <w:tr w:rsidR="00000000" w14:paraId="1949F406" w14:textId="77777777">
        <w:trPr>
          <w:trHeight w:val="720"/>
        </w:trPr>
        <w:tc>
          <w:tcPr>
            <w:tcW w:w="0" w:type="auto"/>
            <w:vMerge/>
            <w:tcBorders>
              <w:top w:val="nil"/>
              <w:left w:val="single" w:sz="6" w:space="0" w:color="000000"/>
              <w:bottom w:val="single" w:sz="6" w:space="0" w:color="000000"/>
              <w:right w:val="single" w:sz="6" w:space="0" w:color="000000"/>
            </w:tcBorders>
            <w:vAlign w:val="center"/>
            <w:hideMark/>
          </w:tcPr>
          <w:p w14:paraId="069BC702"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212E4B5B"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080D9B4F"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0D0BD07D"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Visualiza permanentemente oportunidades de mejora y actúa anticipándose a las mismas, brindando soluciones, que aportan alto valor al negocio.</w:t>
            </w:r>
          </w:p>
        </w:tc>
      </w:tr>
      <w:tr w:rsidR="00000000" w14:paraId="7D6C9BAA" w14:textId="77777777">
        <w:trPr>
          <w:trHeight w:val="255"/>
        </w:trPr>
        <w:tc>
          <w:tcPr>
            <w:tcW w:w="2190" w:type="dxa"/>
            <w:vMerge w:val="restart"/>
            <w:tcBorders>
              <w:top w:val="nil"/>
              <w:left w:val="single" w:sz="6" w:space="0" w:color="000000"/>
              <w:bottom w:val="single" w:sz="6" w:space="0" w:color="000000"/>
              <w:right w:val="single" w:sz="6" w:space="0" w:color="000000"/>
            </w:tcBorders>
            <w:vAlign w:val="center"/>
            <w:hideMark/>
          </w:tcPr>
          <w:p w14:paraId="45234EE4" w14:textId="77777777" w:rsidR="00000000" w:rsidRDefault="00000000">
            <w:pPr>
              <w:pStyle w:val="NormalWeb"/>
              <w:jc w:val="center"/>
            </w:pPr>
            <w:r>
              <w:rPr>
                <w:rStyle w:val="Textoennegrita"/>
                <w:rFonts w:ascii="Calibri" w:hAnsi="Calibri" w:cs="Calibri"/>
                <w:sz w:val="16"/>
                <w:szCs w:val="16"/>
              </w:rPr>
              <w:t>Vocación por el Servicio Público</w:t>
            </w:r>
            <w:r>
              <w:rPr>
                <w:rFonts w:ascii="Calibri" w:hAnsi="Calibri" w:cs="Calibri"/>
                <w:sz w:val="22"/>
                <w:szCs w:val="22"/>
              </w:rPr>
              <w:br/>
              <w:t> </w:t>
            </w:r>
            <w:r>
              <w:t xml:space="preserve"> </w:t>
            </w:r>
          </w:p>
        </w:tc>
        <w:tc>
          <w:tcPr>
            <w:tcW w:w="2190" w:type="dxa"/>
            <w:vMerge w:val="restart"/>
            <w:tcBorders>
              <w:top w:val="nil"/>
              <w:left w:val="nil"/>
              <w:bottom w:val="single" w:sz="6" w:space="0" w:color="000000"/>
              <w:right w:val="single" w:sz="6" w:space="0" w:color="000000"/>
            </w:tcBorders>
            <w:vAlign w:val="center"/>
            <w:hideMark/>
          </w:tcPr>
          <w:p w14:paraId="769649F5"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Capacidad para visualizar a los usuarios del CRS Maipú (pacientes y sus familiares), identificando sus necesidades que se puedan presentar con la finalidad de cubrirlas, a modo de conocer, empatizar y responder a sus requerimientos, dando prioridad a la entrega de un servicio caracterizado por actitudes de respeto y amabilidad</w:t>
            </w:r>
          </w:p>
        </w:tc>
        <w:tc>
          <w:tcPr>
            <w:tcW w:w="690" w:type="dxa"/>
            <w:vMerge w:val="restart"/>
            <w:tcBorders>
              <w:top w:val="nil"/>
              <w:left w:val="nil"/>
              <w:bottom w:val="single" w:sz="6" w:space="0" w:color="000000"/>
              <w:right w:val="single" w:sz="6" w:space="0" w:color="000000"/>
            </w:tcBorders>
            <w:vAlign w:val="center"/>
            <w:hideMark/>
          </w:tcPr>
          <w:p w14:paraId="7EA020A1" w14:textId="77777777" w:rsidR="00000000" w:rsidRDefault="00000000">
            <w:pPr>
              <w:pStyle w:val="NormalWeb"/>
              <w:jc w:val="center"/>
            </w:pPr>
            <w:r>
              <w:rPr>
                <w:rFonts w:ascii="Calibri" w:hAnsi="Calibri" w:cs="Calibri"/>
                <w:sz w:val="16"/>
                <w:szCs w:val="16"/>
              </w:rPr>
              <w:t>4</w:t>
            </w:r>
            <w:r>
              <w:rPr>
                <w:rFonts w:ascii="Calibri" w:hAnsi="Calibri" w:cs="Calibri"/>
                <w:sz w:val="22"/>
                <w:szCs w:val="22"/>
              </w:rPr>
              <w:br/>
              <w:t> </w:t>
            </w:r>
            <w:r>
              <w:t xml:space="preserve"> </w:t>
            </w:r>
          </w:p>
        </w:tc>
        <w:tc>
          <w:tcPr>
            <w:tcW w:w="3780" w:type="dxa"/>
            <w:tcBorders>
              <w:top w:val="nil"/>
              <w:left w:val="nil"/>
              <w:bottom w:val="single" w:sz="6" w:space="0" w:color="000000"/>
              <w:right w:val="single" w:sz="6" w:space="0" w:color="000000"/>
            </w:tcBorders>
            <w:vAlign w:val="center"/>
            <w:hideMark/>
          </w:tcPr>
          <w:p w14:paraId="6010BE97"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Cumple sus compromisos con los usuarios internos y externos, se involucra con el fin de asegurar que los otros cumplan sus promesas frente a ellos, fortaleciendo la imagen corporativa.</w:t>
            </w:r>
          </w:p>
        </w:tc>
      </w:tr>
      <w:tr w:rsidR="00000000" w14:paraId="2ABA4843"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4A9CCFC7"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7CDBEB6B"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1BE357D1"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7BACAEC9"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Se adelanta a las necesidades de los usuarios internos y externos, desarrollando propuestas de solución conjuntas y logrando levantar nuevas necesidades.</w:t>
            </w:r>
          </w:p>
        </w:tc>
      </w:tr>
      <w:tr w:rsidR="00000000" w14:paraId="48572EB3"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4772F3E7"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2003BC49"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4A5B0E6A"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2244E6CE"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Promueve en su equipo la entrega de un servicio de buen trato y de calidad, buscando activamente feedback, a fin de evaluar la satisfacción del usuario interno y externo e incorporar sugerencias para la mejora continua del servicio otorgado</w:t>
            </w:r>
          </w:p>
        </w:tc>
      </w:tr>
      <w:tr w:rsidR="00000000" w14:paraId="64D1CD1A" w14:textId="77777777">
        <w:trPr>
          <w:trHeight w:val="255"/>
        </w:trPr>
        <w:tc>
          <w:tcPr>
            <w:tcW w:w="2190" w:type="dxa"/>
            <w:vMerge w:val="restart"/>
            <w:tcBorders>
              <w:top w:val="nil"/>
              <w:left w:val="single" w:sz="6" w:space="0" w:color="000000"/>
              <w:bottom w:val="single" w:sz="6" w:space="0" w:color="000000"/>
              <w:right w:val="single" w:sz="6" w:space="0" w:color="000000"/>
            </w:tcBorders>
            <w:vAlign w:val="center"/>
            <w:hideMark/>
          </w:tcPr>
          <w:p w14:paraId="53A755E7" w14:textId="77777777" w:rsidR="00000000" w:rsidRDefault="00000000">
            <w:pPr>
              <w:pStyle w:val="NormalWeb"/>
              <w:jc w:val="center"/>
            </w:pPr>
            <w:r>
              <w:rPr>
                <w:rStyle w:val="Textoennegrita"/>
                <w:rFonts w:ascii="Calibri" w:hAnsi="Calibri" w:cs="Calibri"/>
                <w:sz w:val="16"/>
                <w:szCs w:val="16"/>
              </w:rPr>
              <w:t>Trabajo en Equipo y Colaboración</w:t>
            </w:r>
            <w:r>
              <w:rPr>
                <w:rFonts w:ascii="Calibri" w:hAnsi="Calibri" w:cs="Calibri"/>
                <w:sz w:val="22"/>
                <w:szCs w:val="22"/>
              </w:rPr>
              <w:br/>
              <w:t> </w:t>
            </w:r>
            <w:r>
              <w:t xml:space="preserve"> </w:t>
            </w:r>
          </w:p>
        </w:tc>
        <w:tc>
          <w:tcPr>
            <w:tcW w:w="2190" w:type="dxa"/>
            <w:vMerge w:val="restart"/>
            <w:tcBorders>
              <w:top w:val="nil"/>
              <w:left w:val="nil"/>
              <w:bottom w:val="single" w:sz="6" w:space="0" w:color="000000"/>
              <w:right w:val="single" w:sz="6" w:space="0" w:color="000000"/>
            </w:tcBorders>
            <w:vAlign w:val="center"/>
            <w:hideMark/>
          </w:tcPr>
          <w:p w14:paraId="559766B1"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Capacidad para generar y mantener vínculos de trabajo caracterizados por la cooperación y el respeto con personas y/o equipos que trabajan al interior del CRS Maipú, así como con grupos de interés externos a la institución, entendiendo que cada uno forma parte de un equipo en donde todos comparten un objetivo común</w:t>
            </w:r>
          </w:p>
        </w:tc>
        <w:tc>
          <w:tcPr>
            <w:tcW w:w="690" w:type="dxa"/>
            <w:vMerge w:val="restart"/>
            <w:tcBorders>
              <w:top w:val="nil"/>
              <w:left w:val="nil"/>
              <w:bottom w:val="single" w:sz="6" w:space="0" w:color="000000"/>
              <w:right w:val="single" w:sz="6" w:space="0" w:color="000000"/>
            </w:tcBorders>
            <w:vAlign w:val="center"/>
            <w:hideMark/>
          </w:tcPr>
          <w:p w14:paraId="2C4B8418" w14:textId="77777777" w:rsidR="00000000" w:rsidRDefault="00000000">
            <w:pPr>
              <w:pStyle w:val="NormalWeb"/>
              <w:jc w:val="center"/>
            </w:pPr>
            <w:r>
              <w:rPr>
                <w:rFonts w:ascii="Calibri" w:hAnsi="Calibri" w:cs="Calibri"/>
                <w:sz w:val="16"/>
                <w:szCs w:val="16"/>
              </w:rPr>
              <w:t>4</w:t>
            </w:r>
            <w:r>
              <w:rPr>
                <w:rFonts w:ascii="Calibri" w:hAnsi="Calibri" w:cs="Calibri"/>
                <w:sz w:val="22"/>
                <w:szCs w:val="22"/>
              </w:rPr>
              <w:br/>
              <w:t> </w:t>
            </w:r>
            <w:r>
              <w:t xml:space="preserve"> </w:t>
            </w:r>
          </w:p>
        </w:tc>
        <w:tc>
          <w:tcPr>
            <w:tcW w:w="3780" w:type="dxa"/>
            <w:tcBorders>
              <w:top w:val="nil"/>
              <w:left w:val="nil"/>
              <w:bottom w:val="single" w:sz="6" w:space="0" w:color="000000"/>
              <w:right w:val="single" w:sz="6" w:space="0" w:color="000000"/>
            </w:tcBorders>
            <w:vAlign w:val="center"/>
            <w:hideMark/>
          </w:tcPr>
          <w:p w14:paraId="681766DB"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A través de su actuar y sus habilidades interpersonales, logra crear un espíritu de equipo y cohesión con las diferentes áreas de la organización, promoviendo una comunicación abierta demostrando honestidad, credibilidad y confianza.</w:t>
            </w:r>
          </w:p>
        </w:tc>
      </w:tr>
      <w:tr w:rsidR="00000000" w14:paraId="02111CB4"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5FB64DB6"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6FD03534"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2195EFEC"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1021F718"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Actúa como mediador para resolver conflictos interpersonales entre otros integrantes del equipo.</w:t>
            </w:r>
          </w:p>
        </w:tc>
      </w:tr>
      <w:tr w:rsidR="00000000" w14:paraId="477A6061"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6586D5B8"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00C1D3C2"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26E570C7"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4B2437B8"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Valora la diversidad de opiniones integrando el rol de los otros en el cumplimiento de los objetivos, brindando reconocimiento a los miembros del equipo por las contribuciones de cada uno</w:t>
            </w:r>
          </w:p>
        </w:tc>
      </w:tr>
      <w:tr w:rsidR="00000000" w14:paraId="28722EFE" w14:textId="77777777">
        <w:trPr>
          <w:trHeight w:val="675"/>
        </w:trPr>
        <w:tc>
          <w:tcPr>
            <w:tcW w:w="4380" w:type="dxa"/>
            <w:gridSpan w:val="2"/>
            <w:tcBorders>
              <w:top w:val="nil"/>
              <w:left w:val="single" w:sz="6" w:space="0" w:color="000000"/>
              <w:bottom w:val="single" w:sz="6" w:space="0" w:color="000000"/>
              <w:right w:val="single" w:sz="6" w:space="0" w:color="000000"/>
            </w:tcBorders>
            <w:shd w:val="clear" w:color="auto" w:fill="0070C0"/>
            <w:vAlign w:val="center"/>
            <w:hideMark/>
          </w:tcPr>
          <w:p w14:paraId="3CD032D2" w14:textId="77777777" w:rsidR="00000000" w:rsidRDefault="00000000">
            <w:pPr>
              <w:pStyle w:val="NormalWeb"/>
              <w:jc w:val="center"/>
            </w:pPr>
            <w:r>
              <w:rPr>
                <w:rStyle w:val="Textoennegrita"/>
                <w:rFonts w:ascii="Calibri" w:hAnsi="Calibri" w:cs="Calibri"/>
                <w:color w:val="FFFFFF"/>
                <w:sz w:val="16"/>
                <w:szCs w:val="16"/>
              </w:rPr>
              <w:t>COMPETENCIAS ESPECIFICAS</w:t>
            </w:r>
            <w:r>
              <w:t xml:space="preserve"> </w:t>
            </w:r>
          </w:p>
        </w:tc>
        <w:tc>
          <w:tcPr>
            <w:tcW w:w="690" w:type="dxa"/>
            <w:tcBorders>
              <w:top w:val="nil"/>
              <w:left w:val="nil"/>
              <w:bottom w:val="single" w:sz="6" w:space="0" w:color="000000"/>
              <w:right w:val="single" w:sz="6" w:space="0" w:color="000000"/>
            </w:tcBorders>
            <w:shd w:val="clear" w:color="auto" w:fill="0070C0"/>
            <w:vAlign w:val="center"/>
            <w:hideMark/>
          </w:tcPr>
          <w:p w14:paraId="1A3A6401" w14:textId="77777777" w:rsidR="00000000" w:rsidRDefault="00000000">
            <w:pPr>
              <w:pStyle w:val="NormalWeb"/>
              <w:jc w:val="center"/>
            </w:pPr>
            <w:r>
              <w:rPr>
                <w:rStyle w:val="Textoennegrita"/>
                <w:rFonts w:ascii="Calibri" w:hAnsi="Calibri" w:cs="Calibri"/>
                <w:color w:val="FFFFFF"/>
                <w:sz w:val="16"/>
                <w:szCs w:val="16"/>
              </w:rPr>
              <w:t>Nivel</w:t>
            </w:r>
            <w:r>
              <w:t xml:space="preserve"> </w:t>
            </w:r>
          </w:p>
        </w:tc>
        <w:tc>
          <w:tcPr>
            <w:tcW w:w="3780" w:type="dxa"/>
            <w:tcBorders>
              <w:top w:val="nil"/>
              <w:left w:val="nil"/>
              <w:bottom w:val="single" w:sz="6" w:space="0" w:color="000000"/>
              <w:right w:val="single" w:sz="6" w:space="0" w:color="000000"/>
            </w:tcBorders>
            <w:shd w:val="clear" w:color="auto" w:fill="0070C0"/>
            <w:vAlign w:val="center"/>
            <w:hideMark/>
          </w:tcPr>
          <w:p w14:paraId="4D1B394D" w14:textId="77777777" w:rsidR="00000000" w:rsidRDefault="00000000">
            <w:pPr>
              <w:pStyle w:val="NormalWeb"/>
              <w:jc w:val="center"/>
            </w:pPr>
            <w:r>
              <w:rPr>
                <w:rStyle w:val="Textoennegrita"/>
                <w:rFonts w:ascii="Calibri" w:hAnsi="Calibri" w:cs="Calibri"/>
                <w:color w:val="FFFFFF"/>
                <w:sz w:val="16"/>
                <w:szCs w:val="16"/>
              </w:rPr>
              <w:t>Descripción Conductual esperada</w:t>
            </w:r>
            <w:r>
              <w:t xml:space="preserve"> </w:t>
            </w:r>
          </w:p>
        </w:tc>
      </w:tr>
      <w:tr w:rsidR="00000000" w14:paraId="7CD309DF" w14:textId="77777777">
        <w:trPr>
          <w:trHeight w:val="255"/>
        </w:trPr>
        <w:tc>
          <w:tcPr>
            <w:tcW w:w="2190" w:type="dxa"/>
            <w:vMerge w:val="restart"/>
            <w:tcBorders>
              <w:top w:val="nil"/>
              <w:left w:val="single" w:sz="6" w:space="0" w:color="000000"/>
              <w:bottom w:val="single" w:sz="6" w:space="0" w:color="000000"/>
              <w:right w:val="single" w:sz="6" w:space="0" w:color="000000"/>
            </w:tcBorders>
            <w:vAlign w:val="center"/>
            <w:hideMark/>
          </w:tcPr>
          <w:p w14:paraId="3F818EF4" w14:textId="77777777" w:rsidR="00000000" w:rsidRDefault="00000000">
            <w:pPr>
              <w:pStyle w:val="NormalWeb"/>
              <w:jc w:val="center"/>
            </w:pPr>
            <w:r>
              <w:rPr>
                <w:rStyle w:val="Textoennegrita"/>
                <w:rFonts w:ascii="Calibri" w:hAnsi="Calibri" w:cs="Calibri"/>
                <w:sz w:val="16"/>
                <w:szCs w:val="16"/>
              </w:rPr>
              <w:t>Adaptación al Cambio / Flexibilidad</w:t>
            </w:r>
            <w:r>
              <w:rPr>
                <w:rFonts w:ascii="Calibri" w:hAnsi="Calibri" w:cs="Calibri"/>
                <w:sz w:val="22"/>
                <w:szCs w:val="22"/>
              </w:rPr>
              <w:br/>
              <w:t> </w:t>
            </w:r>
            <w:r>
              <w:t xml:space="preserve"> </w:t>
            </w:r>
          </w:p>
        </w:tc>
        <w:tc>
          <w:tcPr>
            <w:tcW w:w="2190" w:type="dxa"/>
            <w:vMerge w:val="restart"/>
            <w:tcBorders>
              <w:top w:val="nil"/>
              <w:left w:val="nil"/>
              <w:bottom w:val="single" w:sz="6" w:space="0" w:color="000000"/>
              <w:right w:val="single" w:sz="6" w:space="0" w:color="000000"/>
            </w:tcBorders>
            <w:vAlign w:val="center"/>
            <w:hideMark/>
          </w:tcPr>
          <w:p w14:paraId="685607D2"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Capacidad para comprender los escenarios cambiantes adaptándose a ellos en forma rápida y adecuada, demostrando una actitud flexible y comprometida, trabajando eficazmente en distintas y variadas situaciones con personas y trabajo multidisciplinario</w:t>
            </w:r>
          </w:p>
        </w:tc>
        <w:tc>
          <w:tcPr>
            <w:tcW w:w="690" w:type="dxa"/>
            <w:vMerge w:val="restart"/>
            <w:tcBorders>
              <w:top w:val="nil"/>
              <w:left w:val="nil"/>
              <w:bottom w:val="single" w:sz="6" w:space="0" w:color="000000"/>
              <w:right w:val="single" w:sz="6" w:space="0" w:color="000000"/>
            </w:tcBorders>
            <w:vAlign w:val="center"/>
            <w:hideMark/>
          </w:tcPr>
          <w:p w14:paraId="4776F3AE" w14:textId="77777777" w:rsidR="00000000" w:rsidRDefault="00000000">
            <w:pPr>
              <w:pStyle w:val="NormalWeb"/>
              <w:jc w:val="center"/>
            </w:pPr>
            <w:r>
              <w:rPr>
                <w:rFonts w:ascii="Calibri" w:hAnsi="Calibri" w:cs="Calibri"/>
                <w:sz w:val="16"/>
                <w:szCs w:val="16"/>
              </w:rPr>
              <w:t>4</w:t>
            </w:r>
            <w:r>
              <w:rPr>
                <w:rFonts w:ascii="Calibri" w:hAnsi="Calibri" w:cs="Calibri"/>
                <w:sz w:val="22"/>
                <w:szCs w:val="22"/>
              </w:rPr>
              <w:br/>
              <w:t> </w:t>
            </w:r>
            <w:r>
              <w:t xml:space="preserve"> </w:t>
            </w:r>
          </w:p>
        </w:tc>
        <w:tc>
          <w:tcPr>
            <w:tcW w:w="3780" w:type="dxa"/>
            <w:tcBorders>
              <w:top w:val="nil"/>
              <w:left w:val="nil"/>
              <w:bottom w:val="single" w:sz="6" w:space="0" w:color="000000"/>
              <w:right w:val="single" w:sz="6" w:space="0" w:color="000000"/>
            </w:tcBorders>
            <w:vAlign w:val="center"/>
            <w:hideMark/>
          </w:tcPr>
          <w:p w14:paraId="396F45BC"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Analiza y estudia las alternativas más adecuadas para cambiar y adaptarse.</w:t>
            </w:r>
          </w:p>
        </w:tc>
      </w:tr>
      <w:tr w:rsidR="00000000" w14:paraId="0328222C"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472EA247"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631457C8"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1E787344"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0DEAC8DB"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 Es capaz de producir cambios no solo en sus opiniones, actitudes y comportamientos profesionales y personales a fin de lograr los objetivos institucionales.</w:t>
            </w:r>
          </w:p>
        </w:tc>
      </w:tr>
      <w:tr w:rsidR="00000000" w14:paraId="6C435969"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35B3B6B2"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4A7493CC"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7556CE60" w14:textId="77777777" w:rsidR="00000000" w:rsidRDefault="00000000">
            <w:pPr>
              <w:rPr>
                <w:lang w:val="es-MX"/>
              </w:rPr>
            </w:pPr>
          </w:p>
        </w:tc>
        <w:tc>
          <w:tcPr>
            <w:tcW w:w="3780" w:type="dxa"/>
            <w:tcBorders>
              <w:top w:val="nil"/>
              <w:left w:val="nil"/>
              <w:bottom w:val="single" w:sz="6" w:space="0" w:color="000000"/>
              <w:right w:val="single" w:sz="6" w:space="0" w:color="000000"/>
            </w:tcBorders>
            <w:vAlign w:val="bottom"/>
            <w:hideMark/>
          </w:tcPr>
          <w:p w14:paraId="1E382DD7"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Asimila y fomenta entre sus colaboradores el uso de nuevas metodologías y herramientas que faciliten la adaptación a diversos contextos y medios</w:t>
            </w:r>
          </w:p>
        </w:tc>
      </w:tr>
      <w:tr w:rsidR="00000000" w14:paraId="7D98F0D3" w14:textId="77777777">
        <w:trPr>
          <w:trHeight w:val="255"/>
        </w:trPr>
        <w:tc>
          <w:tcPr>
            <w:tcW w:w="2190" w:type="dxa"/>
            <w:vMerge w:val="restart"/>
            <w:tcBorders>
              <w:top w:val="nil"/>
              <w:left w:val="single" w:sz="6" w:space="0" w:color="000000"/>
              <w:bottom w:val="single" w:sz="6" w:space="0" w:color="000000"/>
              <w:right w:val="single" w:sz="6" w:space="0" w:color="000000"/>
            </w:tcBorders>
            <w:vAlign w:val="center"/>
            <w:hideMark/>
          </w:tcPr>
          <w:p w14:paraId="6EC9F5D8" w14:textId="77777777" w:rsidR="00000000" w:rsidRDefault="00000000">
            <w:pPr>
              <w:rPr>
                <w:rFonts w:ascii="Times New Roman" w:eastAsia="Times New Roman" w:hAnsi="Times New Roman" w:cs="Times New Roman"/>
                <w:lang w:val="es-MX"/>
              </w:rPr>
            </w:pPr>
            <w:r>
              <w:rPr>
                <w:rStyle w:val="Textoennegrita"/>
                <w:rFonts w:ascii="Calibri" w:eastAsia="Times New Roman" w:hAnsi="Calibri" w:cs="Calibri"/>
                <w:sz w:val="16"/>
                <w:szCs w:val="16"/>
                <w:lang w:val="es-MX"/>
              </w:rPr>
              <w:t>Eficiencia / Productividad</w:t>
            </w:r>
          </w:p>
        </w:tc>
        <w:tc>
          <w:tcPr>
            <w:tcW w:w="2190" w:type="dxa"/>
            <w:vMerge w:val="restart"/>
            <w:tcBorders>
              <w:top w:val="nil"/>
              <w:left w:val="nil"/>
              <w:bottom w:val="single" w:sz="6" w:space="0" w:color="000000"/>
              <w:right w:val="single" w:sz="6" w:space="0" w:color="000000"/>
            </w:tcBorders>
            <w:vAlign w:val="center"/>
            <w:hideMark/>
          </w:tcPr>
          <w:p w14:paraId="54E96477"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Capacidad para dirigir sus propias acciones y/o las de otros de forma que agreguen valor a la organización, alcanzando los objetivos, cumpliendo con el tiempo disponible y con la calidad requerida. Implica analizar los riesgos y los recursos disponibles y estudiar los posibles costos y beneficios</w:t>
            </w:r>
          </w:p>
        </w:tc>
        <w:tc>
          <w:tcPr>
            <w:tcW w:w="690" w:type="dxa"/>
            <w:vMerge w:val="restart"/>
            <w:tcBorders>
              <w:top w:val="nil"/>
              <w:left w:val="nil"/>
              <w:bottom w:val="single" w:sz="6" w:space="0" w:color="000000"/>
              <w:right w:val="single" w:sz="6" w:space="0" w:color="000000"/>
            </w:tcBorders>
            <w:vAlign w:val="center"/>
            <w:hideMark/>
          </w:tcPr>
          <w:p w14:paraId="18C012F5" w14:textId="77777777" w:rsidR="00000000" w:rsidRDefault="00000000">
            <w:pPr>
              <w:pStyle w:val="NormalWeb"/>
              <w:jc w:val="center"/>
            </w:pPr>
            <w:r>
              <w:rPr>
                <w:rFonts w:ascii="Calibri" w:hAnsi="Calibri" w:cs="Calibri"/>
                <w:sz w:val="16"/>
                <w:szCs w:val="16"/>
              </w:rPr>
              <w:t>4</w:t>
            </w:r>
            <w:r>
              <w:rPr>
                <w:rFonts w:ascii="Calibri" w:hAnsi="Calibri" w:cs="Calibri"/>
                <w:sz w:val="22"/>
                <w:szCs w:val="22"/>
              </w:rPr>
              <w:br/>
              <w:t> </w:t>
            </w:r>
            <w:r>
              <w:t xml:space="preserve"> </w:t>
            </w:r>
          </w:p>
        </w:tc>
        <w:tc>
          <w:tcPr>
            <w:tcW w:w="3780" w:type="dxa"/>
            <w:tcBorders>
              <w:top w:val="nil"/>
              <w:left w:val="nil"/>
              <w:bottom w:val="single" w:sz="6" w:space="0" w:color="000000"/>
              <w:right w:val="single" w:sz="6" w:space="0" w:color="000000"/>
            </w:tcBorders>
            <w:vAlign w:val="center"/>
            <w:hideMark/>
          </w:tcPr>
          <w:p w14:paraId="1BA3FFCC"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Brinda adecuada prioridad a las distintas tareas o contingencias, de acuerdo al nivel de importancia de las mismas para el logro de los objetivos.</w:t>
            </w:r>
          </w:p>
        </w:tc>
      </w:tr>
      <w:tr w:rsidR="00000000" w14:paraId="24E49979"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6F5BC5F0"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2EC5689F"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664B6CE8"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769DF59E"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Incorpora nuevos métodos de organización para un ordenamiento más eficiente del trabajo que debe realizar, con el mínimo de recursos posibles.</w:t>
            </w:r>
          </w:p>
        </w:tc>
      </w:tr>
      <w:tr w:rsidR="00000000" w14:paraId="01F4B534"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70E08029"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6FA1907D"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24310552" w14:textId="77777777" w:rsidR="00000000" w:rsidRDefault="00000000">
            <w:pPr>
              <w:rPr>
                <w:lang w:val="es-MX"/>
              </w:rPr>
            </w:pPr>
          </w:p>
        </w:tc>
        <w:tc>
          <w:tcPr>
            <w:tcW w:w="3780" w:type="dxa"/>
            <w:tcBorders>
              <w:top w:val="nil"/>
              <w:left w:val="nil"/>
              <w:bottom w:val="single" w:sz="6" w:space="0" w:color="000000"/>
              <w:right w:val="single" w:sz="6" w:space="0" w:color="000000"/>
            </w:tcBorders>
            <w:vAlign w:val="bottom"/>
            <w:hideMark/>
          </w:tcPr>
          <w:p w14:paraId="07A5E2A6"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Se enfrenta a las adversidades y contextos difíciles, demostrando tranquilidad y autocontrol</w:t>
            </w:r>
          </w:p>
        </w:tc>
      </w:tr>
      <w:tr w:rsidR="00000000" w14:paraId="006C9356" w14:textId="77777777">
        <w:trPr>
          <w:trHeight w:val="255"/>
        </w:trPr>
        <w:tc>
          <w:tcPr>
            <w:tcW w:w="2190" w:type="dxa"/>
            <w:vMerge w:val="restart"/>
            <w:tcBorders>
              <w:top w:val="nil"/>
              <w:left w:val="single" w:sz="6" w:space="0" w:color="000000"/>
              <w:bottom w:val="single" w:sz="6" w:space="0" w:color="000000"/>
              <w:right w:val="single" w:sz="6" w:space="0" w:color="000000"/>
            </w:tcBorders>
            <w:vAlign w:val="center"/>
            <w:hideMark/>
          </w:tcPr>
          <w:p w14:paraId="23D83687" w14:textId="77777777" w:rsidR="00000000" w:rsidRDefault="00000000">
            <w:pPr>
              <w:pStyle w:val="NormalWeb"/>
              <w:jc w:val="center"/>
            </w:pPr>
            <w:r>
              <w:rPr>
                <w:rStyle w:val="Textoennegrita"/>
                <w:rFonts w:ascii="Calibri" w:hAnsi="Calibri" w:cs="Calibri"/>
                <w:sz w:val="16"/>
                <w:szCs w:val="16"/>
              </w:rPr>
              <w:t>Proactividad</w:t>
            </w:r>
            <w:r>
              <w:rPr>
                <w:rFonts w:ascii="Calibri" w:hAnsi="Calibri" w:cs="Calibri"/>
                <w:sz w:val="22"/>
                <w:szCs w:val="22"/>
              </w:rPr>
              <w:br/>
              <w:t> </w:t>
            </w:r>
            <w:r>
              <w:t xml:space="preserve"> </w:t>
            </w:r>
          </w:p>
        </w:tc>
        <w:tc>
          <w:tcPr>
            <w:tcW w:w="2190" w:type="dxa"/>
            <w:vMerge w:val="restart"/>
            <w:tcBorders>
              <w:top w:val="nil"/>
              <w:left w:val="nil"/>
              <w:bottom w:val="single" w:sz="6" w:space="0" w:color="000000"/>
              <w:right w:val="single" w:sz="6" w:space="0" w:color="000000"/>
            </w:tcBorders>
            <w:vAlign w:val="center"/>
            <w:hideMark/>
          </w:tcPr>
          <w:p w14:paraId="38B09A15"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 xml:space="preserve">Capacidad para identificar problemas y/u oportunidades llevando a cabo acciones para dar respuesta a ellos, con </w:t>
            </w:r>
            <w:r>
              <w:rPr>
                <w:rFonts w:ascii="Calibri" w:eastAsia="Times New Roman" w:hAnsi="Calibri" w:cs="Calibri"/>
                <w:sz w:val="16"/>
                <w:szCs w:val="16"/>
                <w:lang w:val="es-MX"/>
              </w:rPr>
              <w:lastRenderedPageBreak/>
              <w:t>predisposición para actuar en forma inmediata, tomando decisiones dentro de su ámbito de acción de manera oportuna y criteriosa para el logro de los objetivos de la institución</w:t>
            </w:r>
          </w:p>
        </w:tc>
        <w:tc>
          <w:tcPr>
            <w:tcW w:w="690" w:type="dxa"/>
            <w:vMerge w:val="restart"/>
            <w:tcBorders>
              <w:top w:val="nil"/>
              <w:left w:val="nil"/>
              <w:bottom w:val="single" w:sz="6" w:space="0" w:color="000000"/>
              <w:right w:val="single" w:sz="6" w:space="0" w:color="000000"/>
            </w:tcBorders>
            <w:vAlign w:val="center"/>
            <w:hideMark/>
          </w:tcPr>
          <w:p w14:paraId="6A13FB95" w14:textId="77777777" w:rsidR="00000000" w:rsidRDefault="00000000">
            <w:pPr>
              <w:pStyle w:val="NormalWeb"/>
              <w:jc w:val="center"/>
            </w:pPr>
            <w:r>
              <w:rPr>
                <w:rFonts w:ascii="Calibri" w:hAnsi="Calibri" w:cs="Calibri"/>
                <w:sz w:val="16"/>
                <w:szCs w:val="16"/>
              </w:rPr>
              <w:lastRenderedPageBreak/>
              <w:t>4</w:t>
            </w:r>
            <w:r>
              <w:rPr>
                <w:rFonts w:ascii="Calibri" w:hAnsi="Calibri" w:cs="Calibri"/>
                <w:sz w:val="22"/>
                <w:szCs w:val="22"/>
              </w:rPr>
              <w:br/>
              <w:t> </w:t>
            </w:r>
            <w:r>
              <w:t xml:space="preserve"> </w:t>
            </w:r>
          </w:p>
        </w:tc>
        <w:tc>
          <w:tcPr>
            <w:tcW w:w="3780" w:type="dxa"/>
            <w:tcBorders>
              <w:top w:val="nil"/>
              <w:left w:val="nil"/>
              <w:bottom w:val="single" w:sz="6" w:space="0" w:color="000000"/>
              <w:right w:val="single" w:sz="6" w:space="0" w:color="000000"/>
            </w:tcBorders>
            <w:vAlign w:val="center"/>
            <w:hideMark/>
          </w:tcPr>
          <w:p w14:paraId="1BA768CF"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 xml:space="preserve">Se anticipa a los problemas, crea oportunidades o problemas potenciales mediante un esfuerzo extra y actuando en forma rápida, obtiene información y la analiza, para desarrollar un plan de acción efectivo. </w:t>
            </w:r>
          </w:p>
        </w:tc>
      </w:tr>
      <w:tr w:rsidR="00000000" w14:paraId="26707E38"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605CFE51"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6A954C7B"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7CA3F4EE"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38F83E08"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 Demuestra y promueve comportamiento laboral proactivo, sin dependencia e otros para el logro de objetivos.</w:t>
            </w:r>
          </w:p>
        </w:tc>
      </w:tr>
      <w:tr w:rsidR="00000000" w14:paraId="5EB67776" w14:textId="77777777">
        <w:trPr>
          <w:trHeight w:val="255"/>
        </w:trPr>
        <w:tc>
          <w:tcPr>
            <w:tcW w:w="0" w:type="auto"/>
            <w:vMerge/>
            <w:tcBorders>
              <w:top w:val="nil"/>
              <w:left w:val="single" w:sz="6" w:space="0" w:color="000000"/>
              <w:bottom w:val="single" w:sz="6" w:space="0" w:color="000000"/>
              <w:right w:val="single" w:sz="6" w:space="0" w:color="000000"/>
            </w:tcBorders>
            <w:vAlign w:val="center"/>
            <w:hideMark/>
          </w:tcPr>
          <w:p w14:paraId="44A6DE7E"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50B271CC"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68C479C5" w14:textId="77777777" w:rsidR="00000000" w:rsidRDefault="00000000">
            <w:pPr>
              <w:rPr>
                <w:lang w:val="es-MX"/>
              </w:rPr>
            </w:pPr>
          </w:p>
        </w:tc>
        <w:tc>
          <w:tcPr>
            <w:tcW w:w="3780" w:type="dxa"/>
            <w:tcBorders>
              <w:top w:val="nil"/>
              <w:left w:val="nil"/>
              <w:bottom w:val="single" w:sz="6" w:space="0" w:color="000000"/>
              <w:right w:val="single" w:sz="6" w:space="0" w:color="000000"/>
            </w:tcBorders>
            <w:vAlign w:val="bottom"/>
            <w:hideMark/>
          </w:tcPr>
          <w:p w14:paraId="54807287"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Diseña métodos de trabajo que permiten a sus colaboradores actuar proactivamente.</w:t>
            </w:r>
          </w:p>
        </w:tc>
      </w:tr>
      <w:tr w:rsidR="00000000" w14:paraId="318D847F" w14:textId="77777777">
        <w:trPr>
          <w:trHeight w:val="270"/>
        </w:trPr>
        <w:tc>
          <w:tcPr>
            <w:tcW w:w="2190" w:type="dxa"/>
            <w:vMerge w:val="restart"/>
            <w:tcBorders>
              <w:top w:val="nil"/>
              <w:left w:val="single" w:sz="6" w:space="0" w:color="000000"/>
              <w:bottom w:val="single" w:sz="6" w:space="0" w:color="000000"/>
              <w:right w:val="single" w:sz="6" w:space="0" w:color="000000"/>
            </w:tcBorders>
            <w:vAlign w:val="center"/>
            <w:hideMark/>
          </w:tcPr>
          <w:p w14:paraId="1911E294" w14:textId="77777777" w:rsidR="00000000" w:rsidRDefault="00000000">
            <w:pPr>
              <w:pStyle w:val="NormalWeb"/>
              <w:jc w:val="center"/>
            </w:pPr>
            <w:r>
              <w:rPr>
                <w:rStyle w:val="Textoennegrita"/>
                <w:rFonts w:ascii="Calibri" w:hAnsi="Calibri" w:cs="Calibri"/>
                <w:sz w:val="16"/>
                <w:szCs w:val="16"/>
              </w:rPr>
              <w:t>Responsabilidad</w:t>
            </w:r>
            <w:r>
              <w:rPr>
                <w:rFonts w:ascii="Calibri" w:hAnsi="Calibri" w:cs="Calibri"/>
                <w:sz w:val="22"/>
                <w:szCs w:val="22"/>
              </w:rPr>
              <w:br/>
              <w:t> </w:t>
            </w:r>
            <w:r>
              <w:t xml:space="preserve"> </w:t>
            </w:r>
          </w:p>
        </w:tc>
        <w:tc>
          <w:tcPr>
            <w:tcW w:w="2190" w:type="dxa"/>
            <w:vMerge w:val="restart"/>
            <w:tcBorders>
              <w:top w:val="nil"/>
              <w:left w:val="nil"/>
              <w:bottom w:val="single" w:sz="6" w:space="0" w:color="000000"/>
              <w:right w:val="single" w:sz="6" w:space="0" w:color="000000"/>
            </w:tcBorders>
            <w:vAlign w:val="center"/>
            <w:hideMark/>
          </w:tcPr>
          <w:p w14:paraId="5E2E1324"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 xml:space="preserve">Capacidad, disposición y compromiso para actuar en </w:t>
            </w:r>
            <w:proofErr w:type="spellStart"/>
            <w:r>
              <w:rPr>
                <w:rFonts w:ascii="Calibri" w:eastAsia="Times New Roman" w:hAnsi="Calibri" w:cs="Calibri"/>
                <w:sz w:val="16"/>
                <w:szCs w:val="16"/>
                <w:lang w:val="es-MX"/>
              </w:rPr>
              <w:t>pos</w:t>
            </w:r>
            <w:proofErr w:type="spellEnd"/>
            <w:r>
              <w:rPr>
                <w:rFonts w:ascii="Calibri" w:eastAsia="Times New Roman" w:hAnsi="Calibri" w:cs="Calibri"/>
                <w:sz w:val="16"/>
                <w:szCs w:val="16"/>
                <w:lang w:val="es-MX"/>
              </w:rPr>
              <w:t xml:space="preserve"> de la consecución del cumplimiento de las tareas u obligaciones adquiridas por él mismo, asignadas por sus superiores y/o por las personas a su cargo con preocupación por el cumplimiento de la tarea asignada por sobre sus propios intereses. Tiene clara conciencia del cuidado de los bienes que se le han asignado para la realización del trabajo. No se compromete con actividades que no pueda realizar en los plazos solicitados</w:t>
            </w:r>
          </w:p>
        </w:tc>
        <w:tc>
          <w:tcPr>
            <w:tcW w:w="690" w:type="dxa"/>
            <w:vMerge w:val="restart"/>
            <w:tcBorders>
              <w:top w:val="nil"/>
              <w:left w:val="nil"/>
              <w:bottom w:val="single" w:sz="6" w:space="0" w:color="000000"/>
              <w:right w:val="single" w:sz="6" w:space="0" w:color="000000"/>
            </w:tcBorders>
            <w:vAlign w:val="center"/>
            <w:hideMark/>
          </w:tcPr>
          <w:p w14:paraId="28A141F1" w14:textId="77777777" w:rsidR="00000000" w:rsidRDefault="00000000">
            <w:pPr>
              <w:pStyle w:val="NormalWeb"/>
              <w:jc w:val="center"/>
            </w:pPr>
            <w:r>
              <w:rPr>
                <w:rFonts w:ascii="Calibri" w:hAnsi="Calibri" w:cs="Calibri"/>
                <w:sz w:val="16"/>
                <w:szCs w:val="16"/>
              </w:rPr>
              <w:t>4</w:t>
            </w:r>
            <w:r>
              <w:t xml:space="preserve"> </w:t>
            </w:r>
          </w:p>
        </w:tc>
        <w:tc>
          <w:tcPr>
            <w:tcW w:w="3780" w:type="dxa"/>
            <w:tcBorders>
              <w:top w:val="nil"/>
              <w:left w:val="nil"/>
              <w:bottom w:val="single" w:sz="6" w:space="0" w:color="000000"/>
              <w:right w:val="single" w:sz="6" w:space="0" w:color="000000"/>
            </w:tcBorders>
            <w:vAlign w:val="center"/>
            <w:hideMark/>
          </w:tcPr>
          <w:p w14:paraId="4D6B89AD"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 xml:space="preserve">Desempeña las tareas con dedicación basándose en los objetivos acordados, cuidando cumplir tanto con los plazos como con la calidad requerida y aspirando a alcanzar el máximo resultado posible, centrado en el apoyo recibido y prestado a sus compañeros. Su responsabilidad está por encima de lo esperado en su nivel o posición.       </w:t>
            </w:r>
          </w:p>
        </w:tc>
      </w:tr>
      <w:tr w:rsidR="00000000" w14:paraId="2B426FED" w14:textId="77777777">
        <w:trPr>
          <w:trHeight w:val="270"/>
        </w:trPr>
        <w:tc>
          <w:tcPr>
            <w:tcW w:w="0" w:type="auto"/>
            <w:vMerge/>
            <w:tcBorders>
              <w:top w:val="nil"/>
              <w:left w:val="single" w:sz="6" w:space="0" w:color="000000"/>
              <w:bottom w:val="single" w:sz="6" w:space="0" w:color="000000"/>
              <w:right w:val="single" w:sz="6" w:space="0" w:color="000000"/>
            </w:tcBorders>
            <w:vAlign w:val="center"/>
            <w:hideMark/>
          </w:tcPr>
          <w:p w14:paraId="1D20BD07"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0C007490"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08846293"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59C665F6"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Analiza y elabora soluciones que permitan mejorar los tiempos y la calidad en le ejecución de la tareas y procesos, facilitando así el logro de los objetivos de la institución.</w:t>
            </w:r>
          </w:p>
        </w:tc>
      </w:tr>
      <w:tr w:rsidR="00000000" w14:paraId="188B254F" w14:textId="77777777">
        <w:trPr>
          <w:trHeight w:val="270"/>
        </w:trPr>
        <w:tc>
          <w:tcPr>
            <w:tcW w:w="0" w:type="auto"/>
            <w:vMerge/>
            <w:tcBorders>
              <w:top w:val="nil"/>
              <w:left w:val="single" w:sz="6" w:space="0" w:color="000000"/>
              <w:bottom w:val="single" w:sz="6" w:space="0" w:color="000000"/>
              <w:right w:val="single" w:sz="6" w:space="0" w:color="000000"/>
            </w:tcBorders>
            <w:vAlign w:val="center"/>
            <w:hideMark/>
          </w:tcPr>
          <w:p w14:paraId="2ECC9D9B"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7AC71A39"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4345F185" w14:textId="77777777" w:rsidR="00000000" w:rsidRDefault="00000000">
            <w:pPr>
              <w:rPr>
                <w:lang w:val="es-MX"/>
              </w:rPr>
            </w:pPr>
          </w:p>
        </w:tc>
        <w:tc>
          <w:tcPr>
            <w:tcW w:w="3780" w:type="dxa"/>
            <w:tcBorders>
              <w:top w:val="nil"/>
              <w:left w:val="nil"/>
              <w:bottom w:val="single" w:sz="6" w:space="0" w:color="000000"/>
              <w:right w:val="single" w:sz="6" w:space="0" w:color="000000"/>
            </w:tcBorders>
            <w:vAlign w:val="bottom"/>
            <w:hideMark/>
          </w:tcPr>
          <w:p w14:paraId="6D4F5C0C"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Informa de manera sistemática y frecuente del avance de sus tareas.</w:t>
            </w:r>
          </w:p>
        </w:tc>
      </w:tr>
      <w:tr w:rsidR="00000000" w14:paraId="3441961A" w14:textId="77777777">
        <w:trPr>
          <w:trHeight w:val="270"/>
        </w:trPr>
        <w:tc>
          <w:tcPr>
            <w:tcW w:w="2190" w:type="dxa"/>
            <w:vMerge w:val="restart"/>
            <w:tcBorders>
              <w:top w:val="nil"/>
              <w:left w:val="single" w:sz="6" w:space="0" w:color="000000"/>
              <w:bottom w:val="single" w:sz="6" w:space="0" w:color="000000"/>
              <w:right w:val="single" w:sz="6" w:space="0" w:color="000000"/>
            </w:tcBorders>
            <w:vAlign w:val="center"/>
            <w:hideMark/>
          </w:tcPr>
          <w:p w14:paraId="2D22FF5F" w14:textId="77777777" w:rsidR="00000000" w:rsidRDefault="00000000">
            <w:pPr>
              <w:pStyle w:val="NormalWeb"/>
              <w:jc w:val="center"/>
            </w:pPr>
            <w:r>
              <w:rPr>
                <w:rStyle w:val="Textoennegrita"/>
                <w:rFonts w:ascii="Calibri" w:hAnsi="Calibri" w:cs="Calibri"/>
                <w:sz w:val="16"/>
                <w:szCs w:val="16"/>
              </w:rPr>
              <w:t>Tolerancia a la presión</w:t>
            </w:r>
            <w:r>
              <w:rPr>
                <w:rFonts w:ascii="Calibri" w:hAnsi="Calibri" w:cs="Calibri"/>
                <w:sz w:val="22"/>
                <w:szCs w:val="22"/>
              </w:rPr>
              <w:br/>
              <w:t> </w:t>
            </w:r>
            <w:r>
              <w:t xml:space="preserve"> </w:t>
            </w:r>
          </w:p>
        </w:tc>
        <w:tc>
          <w:tcPr>
            <w:tcW w:w="2190" w:type="dxa"/>
            <w:vMerge w:val="restart"/>
            <w:tcBorders>
              <w:top w:val="nil"/>
              <w:left w:val="nil"/>
              <w:bottom w:val="single" w:sz="6" w:space="0" w:color="000000"/>
              <w:right w:val="single" w:sz="6" w:space="0" w:color="000000"/>
            </w:tcBorders>
            <w:vAlign w:val="center"/>
            <w:hideMark/>
          </w:tcPr>
          <w:p w14:paraId="32ABB7C7"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Capacidad para trabajar con eficacia en situaciones de presión de tiempo y de desacuerdo, oposición, diversidad, provocaciones u hostilidad de los demás, respondiendo y trabajando con alto desempeño en situaciones de mucha exigencia y estrés, controlando las emociones personales y evitando las reacciones negativas. Implica la resistencia a condiciones constantes de estrés</w:t>
            </w:r>
          </w:p>
        </w:tc>
        <w:tc>
          <w:tcPr>
            <w:tcW w:w="690" w:type="dxa"/>
            <w:vMerge w:val="restart"/>
            <w:tcBorders>
              <w:top w:val="nil"/>
              <w:left w:val="nil"/>
              <w:bottom w:val="single" w:sz="6" w:space="0" w:color="000000"/>
              <w:right w:val="single" w:sz="6" w:space="0" w:color="000000"/>
            </w:tcBorders>
            <w:vAlign w:val="center"/>
            <w:hideMark/>
          </w:tcPr>
          <w:p w14:paraId="00B62616" w14:textId="77777777" w:rsidR="00000000" w:rsidRDefault="00000000">
            <w:pPr>
              <w:pStyle w:val="NormalWeb"/>
              <w:jc w:val="center"/>
            </w:pPr>
            <w:r>
              <w:rPr>
                <w:rFonts w:ascii="Calibri" w:hAnsi="Calibri" w:cs="Calibri"/>
                <w:sz w:val="16"/>
                <w:szCs w:val="16"/>
              </w:rPr>
              <w:t>4</w:t>
            </w:r>
            <w:r>
              <w:rPr>
                <w:rFonts w:ascii="Calibri" w:hAnsi="Calibri" w:cs="Calibri"/>
                <w:sz w:val="22"/>
                <w:szCs w:val="22"/>
              </w:rPr>
              <w:br/>
              <w:t> </w:t>
            </w:r>
            <w:r>
              <w:t xml:space="preserve"> </w:t>
            </w:r>
          </w:p>
        </w:tc>
        <w:tc>
          <w:tcPr>
            <w:tcW w:w="3780" w:type="dxa"/>
            <w:tcBorders>
              <w:top w:val="nil"/>
              <w:left w:val="nil"/>
              <w:bottom w:val="single" w:sz="6" w:space="0" w:color="000000"/>
              <w:right w:val="single" w:sz="6" w:space="0" w:color="000000"/>
            </w:tcBorders>
            <w:vAlign w:val="center"/>
            <w:hideMark/>
          </w:tcPr>
          <w:p w14:paraId="66DFD6D5"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 xml:space="preserve">Demuestra control emocional aún bajo condiciones de fuerte presión en su área. </w:t>
            </w:r>
          </w:p>
        </w:tc>
      </w:tr>
      <w:tr w:rsidR="00000000" w14:paraId="7D3A23B9" w14:textId="77777777">
        <w:trPr>
          <w:trHeight w:val="270"/>
        </w:trPr>
        <w:tc>
          <w:tcPr>
            <w:tcW w:w="0" w:type="auto"/>
            <w:vMerge/>
            <w:tcBorders>
              <w:top w:val="nil"/>
              <w:left w:val="single" w:sz="6" w:space="0" w:color="000000"/>
              <w:bottom w:val="single" w:sz="6" w:space="0" w:color="000000"/>
              <w:right w:val="single" w:sz="6" w:space="0" w:color="000000"/>
            </w:tcBorders>
            <w:vAlign w:val="center"/>
            <w:hideMark/>
          </w:tcPr>
          <w:p w14:paraId="532837E3"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48F4F481"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7854C80F" w14:textId="77777777" w:rsidR="00000000" w:rsidRDefault="00000000">
            <w:pPr>
              <w:rPr>
                <w:lang w:val="es-MX"/>
              </w:rPr>
            </w:pPr>
          </w:p>
        </w:tc>
        <w:tc>
          <w:tcPr>
            <w:tcW w:w="3780" w:type="dxa"/>
            <w:tcBorders>
              <w:top w:val="nil"/>
              <w:left w:val="nil"/>
              <w:bottom w:val="single" w:sz="6" w:space="0" w:color="000000"/>
              <w:right w:val="single" w:sz="6" w:space="0" w:color="000000"/>
            </w:tcBorders>
            <w:vAlign w:val="center"/>
            <w:hideMark/>
          </w:tcPr>
          <w:p w14:paraId="678BE76D"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 Maneja de manera adecuada situaciones o contextos estresantes, dirigiendo sus esfuerzos y el de los integrantes de su equipo hacia soluciones constructivas.</w:t>
            </w:r>
          </w:p>
        </w:tc>
      </w:tr>
      <w:tr w:rsidR="00000000" w14:paraId="77D1B77E" w14:textId="77777777">
        <w:trPr>
          <w:trHeight w:val="270"/>
        </w:trPr>
        <w:tc>
          <w:tcPr>
            <w:tcW w:w="0" w:type="auto"/>
            <w:vMerge/>
            <w:tcBorders>
              <w:top w:val="nil"/>
              <w:left w:val="single" w:sz="6" w:space="0" w:color="000000"/>
              <w:bottom w:val="single" w:sz="6" w:space="0" w:color="000000"/>
              <w:right w:val="single" w:sz="6" w:space="0" w:color="000000"/>
            </w:tcBorders>
            <w:vAlign w:val="center"/>
            <w:hideMark/>
          </w:tcPr>
          <w:p w14:paraId="3A797C53" w14:textId="77777777" w:rsidR="00000000" w:rsidRDefault="00000000">
            <w:pPr>
              <w:rPr>
                <w:lang w:val="es-MX"/>
              </w:rPr>
            </w:pPr>
          </w:p>
        </w:tc>
        <w:tc>
          <w:tcPr>
            <w:tcW w:w="0" w:type="auto"/>
            <w:vMerge/>
            <w:tcBorders>
              <w:top w:val="nil"/>
              <w:left w:val="nil"/>
              <w:bottom w:val="single" w:sz="6" w:space="0" w:color="000000"/>
              <w:right w:val="single" w:sz="6" w:space="0" w:color="000000"/>
            </w:tcBorders>
            <w:vAlign w:val="center"/>
            <w:hideMark/>
          </w:tcPr>
          <w:p w14:paraId="61A34967" w14:textId="77777777" w:rsidR="00000000" w:rsidRDefault="00000000">
            <w:pPr>
              <w:rPr>
                <w:rFonts w:ascii="Times New Roman" w:eastAsia="Times New Roman" w:hAnsi="Times New Roman" w:cs="Times New Roman"/>
                <w:lang w:val="es-MX"/>
              </w:rPr>
            </w:pPr>
          </w:p>
        </w:tc>
        <w:tc>
          <w:tcPr>
            <w:tcW w:w="0" w:type="auto"/>
            <w:vMerge/>
            <w:tcBorders>
              <w:top w:val="nil"/>
              <w:left w:val="nil"/>
              <w:bottom w:val="single" w:sz="6" w:space="0" w:color="000000"/>
              <w:right w:val="single" w:sz="6" w:space="0" w:color="000000"/>
            </w:tcBorders>
            <w:vAlign w:val="center"/>
            <w:hideMark/>
          </w:tcPr>
          <w:p w14:paraId="5043D8AC" w14:textId="77777777" w:rsidR="00000000" w:rsidRDefault="00000000">
            <w:pPr>
              <w:rPr>
                <w:lang w:val="es-MX"/>
              </w:rPr>
            </w:pPr>
          </w:p>
        </w:tc>
        <w:tc>
          <w:tcPr>
            <w:tcW w:w="3780" w:type="dxa"/>
            <w:tcBorders>
              <w:top w:val="nil"/>
              <w:left w:val="nil"/>
              <w:bottom w:val="single" w:sz="6" w:space="0" w:color="000000"/>
              <w:right w:val="single" w:sz="6" w:space="0" w:color="000000"/>
            </w:tcBorders>
            <w:vAlign w:val="bottom"/>
            <w:hideMark/>
          </w:tcPr>
          <w:p w14:paraId="55DC19AC" w14:textId="77777777" w:rsidR="00000000" w:rsidRDefault="00000000">
            <w:pPr>
              <w:rPr>
                <w:rFonts w:ascii="Times New Roman" w:eastAsia="Times New Roman" w:hAnsi="Times New Roman" w:cs="Times New Roman"/>
                <w:lang w:val="es-MX"/>
              </w:rPr>
            </w:pPr>
            <w:r>
              <w:rPr>
                <w:rFonts w:ascii="Calibri" w:eastAsia="Times New Roman" w:hAnsi="Calibri" w:cs="Calibri"/>
                <w:sz w:val="16"/>
                <w:szCs w:val="16"/>
                <w:lang w:val="es-MX"/>
              </w:rPr>
              <w:t>Trabaja con energía y mantiene un alto nivel de desempeño aún en situaciones exigentes y cambiantes.</w:t>
            </w:r>
          </w:p>
        </w:tc>
      </w:tr>
    </w:tbl>
    <w:p w14:paraId="43795F13" w14:textId="77777777" w:rsidR="00000000" w:rsidRDefault="00000000">
      <w:pPr>
        <w:rPr>
          <w:rFonts w:eastAsia="Times New Roman"/>
          <w:bCs/>
          <w:color w:val="000000"/>
          <w:sz w:val="16"/>
          <w:szCs w:val="16"/>
        </w:rPr>
      </w:pPr>
      <w:r>
        <w:rPr>
          <w:rFonts w:eastAsia="Times New Roman"/>
          <w:bCs/>
          <w:color w:val="000000"/>
          <w:sz w:val="17"/>
          <w:szCs w:val="17"/>
        </w:rPr>
        <w:t> </w:t>
      </w:r>
      <w:r>
        <w:rPr>
          <w:rFonts w:eastAsia="Times New Roman"/>
          <w:bCs/>
          <w:color w:val="000000"/>
          <w:sz w:val="17"/>
          <w:szCs w:val="17"/>
        </w:rPr>
        <w:br/>
        <w:t xml:space="preserve">    </w:t>
      </w:r>
    </w:p>
    <w:p w14:paraId="224130F3" w14:textId="77777777" w:rsidR="00000000" w:rsidRDefault="00000000">
      <w:pPr>
        <w:shd w:val="clear" w:color="auto" w:fill="FFFFFF"/>
        <w:spacing w:line="210" w:lineRule="atLeast"/>
        <w:rPr>
          <w:bCs/>
          <w:color w:val="000000"/>
          <w:sz w:val="16"/>
          <w:szCs w:val="16"/>
        </w:rPr>
      </w:pPr>
    </w:p>
    <w:p w14:paraId="39FF93F9" w14:textId="77777777" w:rsidR="00000000" w:rsidRDefault="00000000">
      <w:pPr>
        <w:rPr>
          <w:rFonts w:eastAsia="Times New Roman"/>
          <w:bCs/>
          <w:color w:val="000000"/>
          <w:sz w:val="17"/>
          <w:szCs w:val="17"/>
        </w:rPr>
      </w:pPr>
      <w:r>
        <w:rPr>
          <w:rFonts w:eastAsia="Times New Roman"/>
          <w:b/>
          <w:bCs/>
          <w:color w:val="000000"/>
          <w:sz w:val="17"/>
          <w:szCs w:val="17"/>
        </w:rPr>
        <w:t>Requisitos Generales</w:t>
      </w:r>
      <w:r>
        <w:rPr>
          <w:rFonts w:eastAsia="Times New Roman"/>
          <w:bCs/>
          <w:color w:val="000000"/>
          <w:sz w:val="17"/>
          <w:szCs w:val="17"/>
        </w:rPr>
        <w:br/>
        <w:t xml:space="preserve">Requisitos exigidos para ingresar a la Administración Pública señalados en el artículo 12 de la Ley Nº 18.834 sobre Estatuto Administrativo: </w:t>
      </w:r>
    </w:p>
    <w:p w14:paraId="1CDC8C0E" w14:textId="77777777" w:rsidR="00000000" w:rsidRDefault="00000000">
      <w:pPr>
        <w:pStyle w:val="NormalWeb"/>
        <w:ind w:left="300"/>
        <w:rPr>
          <w:bCs/>
          <w:color w:val="000000"/>
          <w:sz w:val="17"/>
          <w:szCs w:val="17"/>
          <w:lang w:val="es-CL"/>
        </w:rPr>
      </w:pPr>
      <w:r>
        <w:rPr>
          <w:bCs/>
          <w:color w:val="000000"/>
          <w:sz w:val="17"/>
          <w:szCs w:val="17"/>
          <w:lang w:val="es-CL"/>
        </w:rPr>
        <w:br/>
        <w:t xml:space="preserve">a) Ser ciudadano o extranjero poseedor de un permiso de residencia. </w:t>
      </w:r>
      <w:r>
        <w:rPr>
          <w:bCs/>
          <w:color w:val="000000"/>
          <w:sz w:val="17"/>
          <w:szCs w:val="17"/>
          <w:lang w:val="es-CL"/>
        </w:rPr>
        <w:br/>
        <w:t xml:space="preserve">b) Haber cumplido con la Ley de reclutamiento y movilización, cuando fuere procedente. </w:t>
      </w:r>
      <w:r>
        <w:rPr>
          <w:bCs/>
          <w:color w:val="000000"/>
          <w:sz w:val="17"/>
          <w:szCs w:val="17"/>
          <w:lang w:val="es-CL"/>
        </w:rPr>
        <w:br/>
        <w:t xml:space="preserve">c) Tener salud compatible con el desempeño del cargo. </w:t>
      </w:r>
      <w:r>
        <w:rPr>
          <w:bCs/>
          <w:color w:val="000000"/>
          <w:sz w:val="17"/>
          <w:szCs w:val="17"/>
          <w:lang w:val="es-CL"/>
        </w:rPr>
        <w:br/>
        <w:t xml:space="preserve">d) Haber aprobado la educación básica y poseer el nivel educacional o título profesional o técnico que por la naturaleza del empleo exija la ley. </w:t>
      </w:r>
      <w:r>
        <w:rPr>
          <w:bCs/>
          <w:color w:val="000000"/>
          <w:sz w:val="17"/>
          <w:szCs w:val="17"/>
          <w:lang w:val="es-CL"/>
        </w:rPr>
        <w:br/>
        <w:t xml:space="preserve">e) No haber cesado en un cargo público como consecuencia de haber obtenido una calificación deficiente, o por medida disciplinaria, salvo que hayan transcurrido más de cinco años desde la fecha de expiración de funciones. Con todo, conforme lo establecido en el artículo 121 de este Estatuto, no será necesario el cumplimiento de dicho plazo cuando así lo determine el respectivo fiscal. </w:t>
      </w:r>
      <w:r>
        <w:rPr>
          <w:bCs/>
          <w:color w:val="000000"/>
          <w:sz w:val="17"/>
          <w:szCs w:val="17"/>
          <w:lang w:val="es-CL"/>
        </w:rPr>
        <w:br/>
        <w:t xml:space="preserve">f) 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Penal.(Cambio vigente desde el 15.10.2013, según Ley 20.702). </w:t>
      </w:r>
    </w:p>
    <w:p w14:paraId="53F5AB55" w14:textId="77777777" w:rsidR="00000000" w:rsidRDefault="00000000">
      <w:pPr>
        <w:rPr>
          <w:rFonts w:eastAsia="Times New Roman"/>
          <w:bCs/>
          <w:color w:val="000000"/>
          <w:sz w:val="17"/>
          <w:szCs w:val="17"/>
        </w:rPr>
      </w:pPr>
      <w:r>
        <w:rPr>
          <w:rFonts w:eastAsia="Times New Roman"/>
          <w:bCs/>
          <w:color w:val="000000"/>
          <w:sz w:val="17"/>
          <w:szCs w:val="17"/>
        </w:rPr>
        <w:t xml:space="preserve">No estar afecto a las inhabilidades establecidas en el artículo 54 de la ley Nº 18.575 Ley Orgánica Constitucional de Bases Generales de la Administración del Estado: </w:t>
      </w:r>
    </w:p>
    <w:p w14:paraId="12BAC934" w14:textId="77777777" w:rsidR="00000000" w:rsidRDefault="00000000">
      <w:pPr>
        <w:pStyle w:val="NormalWeb"/>
        <w:ind w:left="300"/>
        <w:rPr>
          <w:bCs/>
          <w:color w:val="000000"/>
          <w:sz w:val="17"/>
          <w:szCs w:val="17"/>
          <w:lang w:val="es-CL"/>
        </w:rPr>
      </w:pPr>
      <w:r>
        <w:rPr>
          <w:bCs/>
          <w:color w:val="000000"/>
          <w:sz w:val="17"/>
          <w:szCs w:val="17"/>
          <w:lang w:val="es-CL"/>
        </w:rPr>
        <w:br/>
        <w:t xml:space="preserve">a) Tener vigentes o suscribir, por sí o por terceros, contratos o cauciones ascendientes a 200 UTM o más, con el Servicio. </w:t>
      </w:r>
      <w:r>
        <w:rPr>
          <w:bCs/>
          <w:color w:val="000000"/>
          <w:sz w:val="17"/>
          <w:szCs w:val="17"/>
          <w:lang w:val="es-CL"/>
        </w:rPr>
        <w:br/>
        <w:t xml:space="preserve">b) Tener litigios pendientes con el Servicio, a menos que se refieran al ejercicio de derechos propios, de su cónyuge, hijos, adoptados o parientes hasta el tercer grado de consanguinidad y segundo de afinidad inclusive. </w:t>
      </w:r>
      <w:r>
        <w:rPr>
          <w:bCs/>
          <w:color w:val="000000"/>
          <w:sz w:val="17"/>
          <w:szCs w:val="17"/>
          <w:lang w:val="es-CL"/>
        </w:rPr>
        <w:br/>
        <w:t xml:space="preserve">c) Ser director, administrador, representante y socio titular del 10% o más de los derechos de cualquier clase de sociedad, cuando ésta tenga contratos o cauciones vigentes ascendientes a 200 UTM o más, o litigios pendientes con el Servicio. </w:t>
      </w:r>
      <w:r>
        <w:rPr>
          <w:bCs/>
          <w:color w:val="000000"/>
          <w:sz w:val="17"/>
          <w:szCs w:val="17"/>
          <w:lang w:val="es-CL"/>
        </w:rPr>
        <w:br/>
        <w:t xml:space="preserve">d) Ser cónyuge, hijo, adoptado o pariente hasta el tercer grado de consanguinidad o segundo por afinidad inclusive de las </w:t>
      </w:r>
      <w:r>
        <w:rPr>
          <w:bCs/>
          <w:color w:val="000000"/>
          <w:sz w:val="17"/>
          <w:szCs w:val="17"/>
          <w:lang w:val="es-CL"/>
        </w:rPr>
        <w:lastRenderedPageBreak/>
        <w:t xml:space="preserve">autoridades y de los funcionarios directivos del Servicio hasta el nivel de Jefe de Departamento inclusive. </w:t>
      </w:r>
      <w:r>
        <w:rPr>
          <w:bCs/>
          <w:color w:val="000000"/>
          <w:sz w:val="17"/>
          <w:szCs w:val="17"/>
          <w:lang w:val="es-CL"/>
        </w:rPr>
        <w:br/>
        <w:t>e) Desarrollar actividades particulares en los mismos horarios de labores dentro del Servicio, o que interfieran con su desempeño funcionario, salvo actividades de tipo docente, con un máximo de 12 horas semanales.</w:t>
      </w:r>
      <w:r>
        <w:rPr>
          <w:bCs/>
          <w:color w:val="000000"/>
          <w:sz w:val="17"/>
          <w:szCs w:val="17"/>
          <w:lang w:val="es-CL"/>
        </w:rPr>
        <w:br/>
        <w:t>f) Hallarse condenado/a por crimen o simple delito.</w:t>
      </w:r>
      <w:r>
        <w:rPr>
          <w:bCs/>
          <w:color w:val="000000"/>
          <w:sz w:val="17"/>
          <w:szCs w:val="17"/>
          <w:lang w:val="es-CL"/>
        </w:rPr>
        <w:br/>
        <w:t> </w:t>
      </w:r>
    </w:p>
    <w:p w14:paraId="22C583E5" w14:textId="77777777" w:rsidR="00000000" w:rsidRDefault="00000000">
      <w:pPr>
        <w:rPr>
          <w:rFonts w:eastAsia="Times New Roman"/>
          <w:bCs/>
          <w:color w:val="000000"/>
          <w:sz w:val="16"/>
          <w:szCs w:val="16"/>
        </w:rPr>
      </w:pPr>
    </w:p>
    <w:p w14:paraId="0E619DEB" w14:textId="77777777" w:rsidR="00000000" w:rsidRDefault="00000000">
      <w:pPr>
        <w:shd w:val="clear" w:color="auto" w:fill="FFFFFF"/>
        <w:spacing w:after="240" w:line="210" w:lineRule="atLeast"/>
        <w:rPr>
          <w:bCs/>
          <w:color w:val="000000"/>
          <w:sz w:val="16"/>
          <w:szCs w:val="16"/>
        </w:rPr>
      </w:pPr>
      <w:r>
        <w:rPr>
          <w:bCs/>
          <w:color w:val="000000"/>
          <w:sz w:val="16"/>
          <w:szCs w:val="16"/>
        </w:rPr>
        <w:br/>
      </w:r>
      <w:r>
        <w:rPr>
          <w:bCs/>
          <w:color w:val="000000"/>
          <w:sz w:val="16"/>
          <w:szCs w:val="16"/>
        </w:rPr>
        <w:br/>
      </w:r>
      <w:r>
        <w:rPr>
          <w:bCs/>
          <w:color w:val="666666"/>
          <w:sz w:val="27"/>
          <w:szCs w:val="27"/>
        </w:rPr>
        <w:t>Etapas de Selección</w:t>
      </w:r>
    </w:p>
    <w:p w14:paraId="51F3FCEA" w14:textId="77777777" w:rsidR="00000000" w:rsidRDefault="00000000">
      <w:pPr>
        <w:rPr>
          <w:rFonts w:eastAsia="Times New Roman"/>
          <w:bCs/>
          <w:color w:val="000000"/>
          <w:sz w:val="16"/>
          <w:szCs w:val="16"/>
        </w:rPr>
      </w:pPr>
      <w:r>
        <w:rPr>
          <w:rFonts w:eastAsia="Times New Roman"/>
          <w:bCs/>
          <w:color w:val="000000"/>
          <w:sz w:val="17"/>
          <w:szCs w:val="17"/>
        </w:rPr>
        <w:t>El proceso de selección se desarrollará a través de las siguientes etapas sucesivas:</w:t>
      </w:r>
      <w:r>
        <w:rPr>
          <w:rFonts w:eastAsia="Times New Roman"/>
          <w:bCs/>
          <w:color w:val="000000"/>
          <w:sz w:val="17"/>
          <w:szCs w:val="17"/>
        </w:rPr>
        <w:br/>
        <w:t> </w:t>
      </w:r>
      <w:r>
        <w:rPr>
          <w:rStyle w:val="Textoennegrita"/>
          <w:rFonts w:eastAsia="Times New Roman"/>
          <w:color w:val="000000"/>
          <w:sz w:val="17"/>
          <w:szCs w:val="17"/>
        </w:rPr>
        <w:t>A. ANÁLISIS CURRICULAR:</w:t>
      </w:r>
      <w:r>
        <w:rPr>
          <w:rFonts w:eastAsia="Times New Roman"/>
          <w:bCs/>
          <w:color w:val="000000"/>
          <w:sz w:val="17"/>
          <w:szCs w:val="17"/>
        </w:rPr>
        <w:t> Corresponde a la revisión y evaluación de los currículos de los postulantes considerando la formación educacional, capacitación y experiencia profesional.</w:t>
      </w:r>
      <w:r>
        <w:rPr>
          <w:rFonts w:eastAsia="Times New Roman"/>
          <w:bCs/>
          <w:color w:val="000000"/>
          <w:sz w:val="17"/>
          <w:szCs w:val="17"/>
        </w:rPr>
        <w:br/>
        <w:t>La formación educacional se debe estar posesión de un Título Profesional otorgado por una Universidad o Instituto Profesional acreditado de acuerdo con la legislación vigente, al igual que las capacitaciones, que deberán contener fecha y cantidad de horas, las cuales se deberán adjuntar a la postulación.</w:t>
      </w:r>
      <w:r>
        <w:rPr>
          <w:rFonts w:eastAsia="Times New Roman"/>
          <w:bCs/>
          <w:color w:val="000000"/>
          <w:sz w:val="17"/>
          <w:szCs w:val="17"/>
        </w:rPr>
        <w:br/>
        <w:t>La experiencia laboral se evaluará conforme a lo señalado en el CV registrado; ésta se calculará desde la fecha de inicio en puestos afines hasta la fecha de publicación del presente llamado, y se expresará en años y meses. Se debe acreditar con certificado emitido por empleador que señale fecha de inicio, termino y cargo ocupado.</w:t>
      </w:r>
      <w:r>
        <w:rPr>
          <w:rFonts w:eastAsia="Times New Roman"/>
          <w:bCs/>
          <w:color w:val="000000"/>
          <w:sz w:val="17"/>
          <w:szCs w:val="17"/>
        </w:rPr>
        <w:br/>
        <w:t>Realizado el análisis curricular se confeccionará una nómina con los postulantes que hayan aprobado esta etapa. El análisis curricular siempre irá de acuerdo con los requisitos excluyentes, aquellos/as postulantes que no acrediten debidamente los requisitos estipulados, serán automáticamente excluidos del proceso.</w:t>
      </w:r>
      <w:r>
        <w:rPr>
          <w:rFonts w:eastAsia="Times New Roman"/>
          <w:bCs/>
          <w:color w:val="000000"/>
          <w:sz w:val="17"/>
          <w:szCs w:val="17"/>
        </w:rPr>
        <w:br/>
      </w:r>
      <w:r>
        <w:rPr>
          <w:rStyle w:val="Textoennegrita"/>
          <w:rFonts w:eastAsia="Times New Roman"/>
          <w:color w:val="000000"/>
          <w:sz w:val="17"/>
          <w:szCs w:val="17"/>
        </w:rPr>
        <w:t>B. PRUEBA DE EVALUACION TECNICA:  En </w:t>
      </w:r>
      <w:r>
        <w:rPr>
          <w:rFonts w:eastAsia="Times New Roman"/>
          <w:bCs/>
          <w:color w:val="000000"/>
          <w:sz w:val="17"/>
          <w:szCs w:val="17"/>
        </w:rPr>
        <w:t>esta etapa se evaluarán conocimientos técnicos de los postulantes. Una vez realizada la evaluación , sólo continuarán en el proceso de selección aquellos postulantes que hayan aprobado la etapa.</w:t>
      </w:r>
      <w:r>
        <w:rPr>
          <w:rFonts w:eastAsia="Times New Roman"/>
          <w:bCs/>
          <w:color w:val="000000"/>
          <w:sz w:val="17"/>
          <w:szCs w:val="17"/>
        </w:rPr>
        <w:br/>
      </w:r>
      <w:r>
        <w:rPr>
          <w:rStyle w:val="Textoennegrita"/>
          <w:rFonts w:eastAsia="Times New Roman"/>
          <w:color w:val="000000"/>
          <w:sz w:val="17"/>
          <w:szCs w:val="17"/>
        </w:rPr>
        <w:t>C. EVALUACIÓN PSICOLABORAL:</w:t>
      </w:r>
      <w:r>
        <w:rPr>
          <w:rFonts w:eastAsia="Times New Roman"/>
          <w:bCs/>
          <w:color w:val="000000"/>
          <w:sz w:val="17"/>
          <w:szCs w:val="17"/>
        </w:rPr>
        <w:t> En esta etapa se evaluará la adecuación psicolaboral del postulante para el desempeño del cargo, conforme a las competencias indicadas en el perfil.</w:t>
      </w:r>
      <w:r>
        <w:rPr>
          <w:rFonts w:eastAsia="Times New Roman"/>
          <w:bCs/>
          <w:color w:val="000000"/>
          <w:sz w:val="17"/>
          <w:szCs w:val="17"/>
        </w:rPr>
        <w:br/>
        <w:t>Una vez realizada la evaluación psicolaboral, sólo continuarán en el proceso de selección aquellos postulantes que hayan aprobado la etapa.</w:t>
      </w:r>
      <w:r>
        <w:rPr>
          <w:rFonts w:eastAsia="Times New Roman"/>
          <w:bCs/>
          <w:color w:val="000000"/>
          <w:sz w:val="17"/>
          <w:szCs w:val="17"/>
        </w:rPr>
        <w:br/>
        <w:t> </w:t>
      </w:r>
      <w:r>
        <w:rPr>
          <w:rStyle w:val="Textoennegrita"/>
          <w:rFonts w:eastAsia="Times New Roman"/>
          <w:color w:val="000000"/>
          <w:sz w:val="17"/>
          <w:szCs w:val="17"/>
        </w:rPr>
        <w:t>D. ENTREVISTA DE APRECIACIÓN GLOBAL:</w:t>
      </w:r>
      <w:r>
        <w:rPr>
          <w:rFonts w:eastAsia="Times New Roman"/>
          <w:bCs/>
          <w:color w:val="000000"/>
          <w:sz w:val="17"/>
          <w:szCs w:val="17"/>
        </w:rPr>
        <w:t> Esta etapa corresponde a una entrevista personal realizada por una comisión de selección, se evalúa de forma global a los postulantes respecto al perfil requerido.</w:t>
      </w:r>
      <w:r>
        <w:rPr>
          <w:rFonts w:eastAsia="Times New Roman"/>
          <w:bCs/>
          <w:color w:val="000000"/>
          <w:sz w:val="17"/>
          <w:szCs w:val="17"/>
        </w:rPr>
        <w:br/>
      </w:r>
      <w:r>
        <w:rPr>
          <w:rStyle w:val="Textoennegrita"/>
          <w:rFonts w:eastAsia="Times New Roman"/>
          <w:color w:val="000000"/>
          <w:sz w:val="17"/>
          <w:szCs w:val="17"/>
        </w:rPr>
        <w:t> E. SELECCIÓN FINAL:</w:t>
      </w:r>
      <w:r>
        <w:rPr>
          <w:rFonts w:eastAsia="Times New Roman"/>
          <w:bCs/>
          <w:color w:val="000000"/>
          <w:sz w:val="17"/>
          <w:szCs w:val="17"/>
        </w:rPr>
        <w:t> Se confeccionará una lista de postulantes con aquellos que aprobaron las cuatro etapas anteriores, ordenados en forma decreciente según su puntaje final, obtenido de la suma de los puntajes de las etapas: análisis curricular, evaluación técnica, evaluación psicolaboral y entrevista de apreciación global.</w:t>
      </w:r>
      <w:r>
        <w:rPr>
          <w:rFonts w:eastAsia="Times New Roman"/>
          <w:bCs/>
          <w:color w:val="000000"/>
          <w:sz w:val="17"/>
          <w:szCs w:val="17"/>
        </w:rPr>
        <w:br/>
        <w:t xml:space="preserve">Serán seleccionados(as) los (las) postulantes que obtengan los mayores puntajes finales, conforme al número de vacantes disponibles. </w:t>
      </w:r>
    </w:p>
    <w:p w14:paraId="183A6DDC" w14:textId="77777777" w:rsidR="00000000" w:rsidRDefault="00000000">
      <w:pPr>
        <w:rPr>
          <w:rFonts w:eastAsia="Times New Roman"/>
          <w:bCs/>
          <w:color w:val="000000"/>
          <w:sz w:val="16"/>
          <w:szCs w:val="16"/>
        </w:rPr>
      </w:pPr>
    </w:p>
    <w:p w14:paraId="14954407"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666666"/>
          <w:sz w:val="27"/>
          <w:szCs w:val="27"/>
        </w:rPr>
        <w:t>Documentos Requeridos para Postular</w:t>
      </w:r>
      <w:r>
        <w:rPr>
          <w:bCs/>
          <w:color w:val="000000"/>
          <w:sz w:val="16"/>
          <w:szCs w:val="16"/>
        </w:rPr>
        <w:br/>
      </w:r>
      <w:r>
        <w:rPr>
          <w:bCs/>
          <w:color w:val="000000"/>
          <w:sz w:val="16"/>
          <w:szCs w:val="16"/>
        </w:rPr>
        <w:br/>
        <w:t>- Copia Cédula de Identidad</w:t>
      </w:r>
      <w:r>
        <w:rPr>
          <w:bCs/>
          <w:color w:val="000000"/>
          <w:sz w:val="16"/>
          <w:szCs w:val="16"/>
        </w:rPr>
        <w:br/>
        <w:t>- Copia de certificado que acredite nivel Educacional, requerido por ley</w:t>
      </w:r>
      <w:r>
        <w:rPr>
          <w:bCs/>
          <w:color w:val="000000"/>
          <w:sz w:val="16"/>
          <w:szCs w:val="16"/>
        </w:rPr>
        <w:br/>
        <w:t>- Copia de Certificados que acrediten capacitación, postítulos y/o postgrados</w:t>
      </w:r>
      <w:r>
        <w:rPr>
          <w:bCs/>
          <w:color w:val="000000"/>
          <w:sz w:val="16"/>
          <w:szCs w:val="16"/>
        </w:rPr>
        <w:br/>
        <w:t>- Copia de Certificados o documentos que acrediten experiencia laboral</w:t>
      </w:r>
      <w:r>
        <w:rPr>
          <w:bCs/>
          <w:color w:val="000000"/>
          <w:sz w:val="16"/>
          <w:szCs w:val="16"/>
        </w:rPr>
        <w:br/>
        <w:t>- Certificado Situación militar al día (*)</w:t>
      </w:r>
      <w:r>
        <w:rPr>
          <w:bCs/>
          <w:color w:val="000000"/>
          <w:sz w:val="16"/>
          <w:szCs w:val="16"/>
        </w:rPr>
        <w:br/>
        <w:t>- Declaración jurada simple que acredite lo señalado en el artículo 12 letras c), e) y f) del Estatuto Administrativo y artículo 54 de la Ley N°18.575</w:t>
      </w:r>
      <w:r>
        <w:rPr>
          <w:bCs/>
          <w:color w:val="000000"/>
          <w:sz w:val="16"/>
          <w:szCs w:val="16"/>
        </w:rPr>
        <w:br/>
        <w:t>- Otros</w:t>
      </w:r>
      <w:r>
        <w:rPr>
          <w:bCs/>
          <w:color w:val="000000"/>
          <w:sz w:val="16"/>
          <w:szCs w:val="16"/>
        </w:rPr>
        <w:br/>
      </w:r>
    </w:p>
    <w:p w14:paraId="3D5F6F60"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000000"/>
          <w:sz w:val="16"/>
          <w:szCs w:val="16"/>
        </w:rPr>
        <w:br/>
      </w:r>
      <w:r>
        <w:rPr>
          <w:bCs/>
          <w:color w:val="666666"/>
          <w:sz w:val="27"/>
          <w:szCs w:val="27"/>
        </w:rPr>
        <w:t>Preguntas al Postulante</w:t>
      </w:r>
      <w:r>
        <w:rPr>
          <w:bCs/>
          <w:color w:val="000000"/>
          <w:sz w:val="16"/>
          <w:szCs w:val="16"/>
        </w:rPr>
        <w:br/>
      </w:r>
      <w:r>
        <w:rPr>
          <w:bCs/>
          <w:color w:val="000000"/>
          <w:sz w:val="16"/>
          <w:szCs w:val="16"/>
        </w:rPr>
        <w:br/>
      </w:r>
      <w:r>
        <w:rPr>
          <w:b/>
          <w:bCs/>
          <w:color w:val="000000"/>
          <w:sz w:val="16"/>
          <w:szCs w:val="16"/>
        </w:rPr>
        <w:t>Pregunta Nº 1 : Acredita en sus documentos de postulación; Curso vigente de IAAS</w:t>
      </w:r>
    </w:p>
    <w:p w14:paraId="11407D82"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Si</w:t>
      </w:r>
    </w:p>
    <w:p w14:paraId="721BB093"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No</w:t>
      </w:r>
      <w:r>
        <w:rPr>
          <w:rFonts w:eastAsia="Times New Roman"/>
          <w:bCs/>
          <w:color w:val="000000"/>
          <w:sz w:val="16"/>
          <w:szCs w:val="16"/>
        </w:rPr>
        <w:br/>
      </w:r>
      <w:r>
        <w:rPr>
          <w:rFonts w:eastAsia="Times New Roman"/>
          <w:bCs/>
          <w:color w:val="000000"/>
          <w:sz w:val="16"/>
          <w:szCs w:val="16"/>
        </w:rPr>
        <w:br/>
      </w:r>
      <w:r>
        <w:rPr>
          <w:rFonts w:eastAsia="Times New Roman"/>
          <w:b/>
          <w:bCs/>
          <w:color w:val="000000"/>
          <w:sz w:val="16"/>
          <w:szCs w:val="16"/>
        </w:rPr>
        <w:t>Pregunta Nº 2 : Acredita en sus documentos de postulación; Curso vigente aseguramiento de la calidad y seguridad del paciente</w:t>
      </w:r>
    </w:p>
    <w:p w14:paraId="2B51FB21"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Si</w:t>
      </w:r>
    </w:p>
    <w:p w14:paraId="031BE10E"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No</w:t>
      </w:r>
      <w:r>
        <w:rPr>
          <w:rFonts w:eastAsia="Times New Roman"/>
          <w:bCs/>
          <w:color w:val="000000"/>
          <w:sz w:val="16"/>
          <w:szCs w:val="16"/>
        </w:rPr>
        <w:br/>
      </w:r>
      <w:r>
        <w:rPr>
          <w:rFonts w:eastAsia="Times New Roman"/>
          <w:bCs/>
          <w:color w:val="000000"/>
          <w:sz w:val="16"/>
          <w:szCs w:val="16"/>
        </w:rPr>
        <w:br/>
      </w:r>
      <w:r>
        <w:rPr>
          <w:rFonts w:eastAsia="Times New Roman"/>
          <w:b/>
          <w:bCs/>
          <w:color w:val="000000"/>
          <w:sz w:val="16"/>
          <w:szCs w:val="16"/>
        </w:rPr>
        <w:t>Pregunta Nº 3 : Acredita en sus documentos de postulación; Curso de Farmacovigilancia.</w:t>
      </w:r>
    </w:p>
    <w:p w14:paraId="5F95952D"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Si</w:t>
      </w:r>
    </w:p>
    <w:p w14:paraId="0888B6F2"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No</w:t>
      </w:r>
      <w:r>
        <w:rPr>
          <w:rFonts w:eastAsia="Times New Roman"/>
          <w:bCs/>
          <w:color w:val="000000"/>
          <w:sz w:val="16"/>
          <w:szCs w:val="16"/>
        </w:rPr>
        <w:br/>
      </w:r>
      <w:r>
        <w:rPr>
          <w:rFonts w:eastAsia="Times New Roman"/>
          <w:bCs/>
          <w:color w:val="000000"/>
          <w:sz w:val="16"/>
          <w:szCs w:val="16"/>
        </w:rPr>
        <w:br/>
      </w:r>
      <w:r>
        <w:rPr>
          <w:rFonts w:eastAsia="Times New Roman"/>
          <w:b/>
          <w:bCs/>
          <w:color w:val="000000"/>
          <w:sz w:val="16"/>
          <w:szCs w:val="16"/>
        </w:rPr>
        <w:t>Pregunta Nº 4 : Acredita en sus documentos de postulación;: Diplomado en Farmacia Clínica.</w:t>
      </w:r>
    </w:p>
    <w:p w14:paraId="7FDF12FD"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Si</w:t>
      </w:r>
    </w:p>
    <w:p w14:paraId="2BE87324" w14:textId="77777777" w:rsidR="00000000" w:rsidRDefault="00000000">
      <w:pPr>
        <w:rPr>
          <w:rFonts w:eastAsia="Times New Roman"/>
          <w:bCs/>
          <w:color w:val="000000"/>
          <w:sz w:val="16"/>
          <w:szCs w:val="16"/>
        </w:rPr>
      </w:pPr>
      <w:r>
        <w:rPr>
          <w:rFonts w:eastAsia="Times New Roman" w:hAnsi="Symbol"/>
          <w:bCs/>
          <w:color w:val="000000"/>
          <w:sz w:val="16"/>
          <w:szCs w:val="16"/>
        </w:rPr>
        <w:lastRenderedPageBreak/>
        <w:t></w:t>
      </w:r>
      <w:r>
        <w:rPr>
          <w:rFonts w:eastAsia="Times New Roman"/>
          <w:bCs/>
          <w:color w:val="000000"/>
          <w:sz w:val="16"/>
          <w:szCs w:val="16"/>
        </w:rPr>
        <w:t xml:space="preserve">  No</w:t>
      </w:r>
      <w:r>
        <w:rPr>
          <w:rFonts w:eastAsia="Times New Roman"/>
          <w:bCs/>
          <w:color w:val="000000"/>
          <w:sz w:val="16"/>
          <w:szCs w:val="16"/>
        </w:rPr>
        <w:br/>
      </w:r>
      <w:r>
        <w:rPr>
          <w:rFonts w:eastAsia="Times New Roman"/>
          <w:bCs/>
          <w:color w:val="000000"/>
          <w:sz w:val="16"/>
          <w:szCs w:val="16"/>
        </w:rPr>
        <w:br/>
      </w:r>
      <w:r>
        <w:rPr>
          <w:rFonts w:eastAsia="Times New Roman"/>
          <w:b/>
          <w:bCs/>
          <w:color w:val="000000"/>
          <w:sz w:val="16"/>
          <w:szCs w:val="16"/>
        </w:rPr>
        <w:t>Pregunta Nº 5 : Acredita en sus documentos de postulación; Diplomado en Antibióticos y Terapia antimicrobiana.</w:t>
      </w:r>
    </w:p>
    <w:p w14:paraId="0F95F00B"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Si</w:t>
      </w:r>
    </w:p>
    <w:p w14:paraId="06267FCF"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No</w:t>
      </w:r>
      <w:r>
        <w:rPr>
          <w:rFonts w:eastAsia="Times New Roman"/>
          <w:bCs/>
          <w:color w:val="000000"/>
          <w:sz w:val="16"/>
          <w:szCs w:val="16"/>
        </w:rPr>
        <w:br/>
      </w:r>
      <w:r>
        <w:rPr>
          <w:rFonts w:eastAsia="Times New Roman"/>
          <w:bCs/>
          <w:color w:val="000000"/>
          <w:sz w:val="16"/>
          <w:szCs w:val="16"/>
        </w:rPr>
        <w:br/>
      </w:r>
      <w:r>
        <w:rPr>
          <w:rFonts w:eastAsia="Times New Roman"/>
          <w:b/>
          <w:bCs/>
          <w:color w:val="000000"/>
          <w:sz w:val="16"/>
          <w:szCs w:val="16"/>
        </w:rPr>
        <w:t>Pregunta Nº 6 : Acredita en sus documentos de postulación; Experiencia profesional Mínimo de 5 años en farmacia clínica o asistencial en hospitales públicos o privados.</w:t>
      </w:r>
    </w:p>
    <w:p w14:paraId="0E01E951" w14:textId="77777777" w:rsidR="00000000" w:rsidRDefault="00000000">
      <w:pPr>
        <w:rPr>
          <w:rFonts w:eastAsia="Times New Roman"/>
          <w:bCs/>
          <w:color w:val="000000"/>
          <w:sz w:val="16"/>
          <w:szCs w:val="16"/>
        </w:rPr>
      </w:pPr>
      <w:r>
        <w:rPr>
          <w:rFonts w:eastAsia="Times New Roman" w:hAnsi="Symbol"/>
          <w:bCs/>
          <w:color w:val="000000"/>
          <w:sz w:val="16"/>
          <w:szCs w:val="16"/>
        </w:rPr>
        <w:t></w:t>
      </w:r>
      <w:r>
        <w:rPr>
          <w:rFonts w:eastAsia="Times New Roman"/>
          <w:bCs/>
          <w:color w:val="000000"/>
          <w:sz w:val="16"/>
          <w:szCs w:val="16"/>
        </w:rPr>
        <w:t xml:space="preserve">  Si</w:t>
      </w:r>
    </w:p>
    <w:p w14:paraId="7A6075FB" w14:textId="77777777" w:rsidR="00000000" w:rsidRDefault="00000000">
      <w:pPr>
        <w:spacing w:after="240"/>
        <w:rPr>
          <w:rFonts w:ascii="Times New Roman" w:eastAsia="Times New Roman" w:hAnsi="Times New Roman" w:cs="Times New Roman"/>
          <w:lang w:val="es-ES"/>
        </w:rPr>
      </w:pPr>
      <w:r>
        <w:rPr>
          <w:rFonts w:eastAsia="Times New Roman" w:hAnsi="Symbol"/>
          <w:bCs/>
          <w:color w:val="000000"/>
          <w:sz w:val="16"/>
          <w:szCs w:val="16"/>
        </w:rPr>
        <w:t></w:t>
      </w:r>
      <w:r>
        <w:rPr>
          <w:rFonts w:eastAsia="Times New Roman"/>
          <w:bCs/>
          <w:color w:val="000000"/>
          <w:sz w:val="16"/>
          <w:szCs w:val="16"/>
        </w:rPr>
        <w:t xml:space="preserve">  No</w:t>
      </w:r>
    </w:p>
    <w:p w14:paraId="619B08CE" w14:textId="77777777" w:rsidR="00000000" w:rsidRDefault="00000000">
      <w:pPr>
        <w:rPr>
          <w:rFonts w:ascii="Times New Roman" w:eastAsia="Times New Roman" w:hAnsi="Times New Roman" w:cs="Times New Roman"/>
          <w:lang w:val="es-ES"/>
        </w:rPr>
      </w:pPr>
    </w:p>
    <w:p w14:paraId="13ADB2F6" w14:textId="77777777" w:rsidR="00000000" w:rsidRDefault="00000000">
      <w:pPr>
        <w:shd w:val="clear" w:color="auto" w:fill="FFFFFF"/>
        <w:spacing w:line="210" w:lineRule="atLeast"/>
        <w:rPr>
          <w:rStyle w:val="e01txtgris021"/>
          <w:bCs/>
          <w:sz w:val="27"/>
          <w:szCs w:val="27"/>
        </w:rPr>
      </w:pPr>
      <w:r>
        <w:rPr>
          <w:rStyle w:val="e01txtgris021"/>
          <w:bCs/>
          <w:color w:val="666666"/>
          <w:sz w:val="27"/>
          <w:szCs w:val="27"/>
        </w:rPr>
        <w:t>Calendarización del Proceso</w:t>
      </w:r>
    </w:p>
    <w:p w14:paraId="09B73EF8" w14:textId="77777777" w:rsidR="00000000" w:rsidRDefault="00000000">
      <w:pPr>
        <w:rPr>
          <w:rFonts w:ascii="Times New Roman" w:eastAsia="Times New Roman" w:hAnsi="Times New Roman" w:cs="Times New Roman"/>
          <w:lang w:val="es-E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67"/>
        <w:gridCol w:w="2857"/>
      </w:tblGrid>
      <w:tr w:rsidR="00000000" w14:paraId="02275CF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F75B07"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Etapa</w:t>
            </w:r>
          </w:p>
        </w:tc>
        <w:tc>
          <w:tcPr>
            <w:tcW w:w="1500" w:type="pct"/>
            <w:tcBorders>
              <w:top w:val="outset" w:sz="6" w:space="0" w:color="auto"/>
              <w:left w:val="outset" w:sz="6" w:space="0" w:color="auto"/>
              <w:bottom w:val="outset" w:sz="6" w:space="0" w:color="auto"/>
              <w:right w:val="outset" w:sz="6" w:space="0" w:color="auto"/>
            </w:tcBorders>
            <w:vAlign w:val="center"/>
            <w:hideMark/>
          </w:tcPr>
          <w:p w14:paraId="0D6BF875"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Fechas</w:t>
            </w:r>
          </w:p>
        </w:tc>
      </w:tr>
      <w:tr w:rsidR="00000000" w14:paraId="4FFC6ED4"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268656"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Postulación</w:t>
            </w:r>
          </w:p>
        </w:tc>
      </w:tr>
      <w:tr w:rsidR="00000000" w14:paraId="3B6B6195"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34A6D7"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Difusión y Plazo de Postulación en www.empleospublicos.cl</w:t>
            </w:r>
          </w:p>
        </w:tc>
        <w:tc>
          <w:tcPr>
            <w:tcW w:w="0" w:type="auto"/>
            <w:tcBorders>
              <w:top w:val="outset" w:sz="6" w:space="0" w:color="auto"/>
              <w:left w:val="outset" w:sz="6" w:space="0" w:color="auto"/>
              <w:bottom w:val="outset" w:sz="6" w:space="0" w:color="auto"/>
              <w:right w:val="outset" w:sz="6" w:space="0" w:color="auto"/>
            </w:tcBorders>
            <w:vAlign w:val="center"/>
            <w:hideMark/>
          </w:tcPr>
          <w:p w14:paraId="58F14831"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03/03/2026-13/03/2026</w:t>
            </w:r>
          </w:p>
        </w:tc>
      </w:tr>
      <w:tr w:rsidR="00000000" w14:paraId="7CCFDB0C"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18B6C8B"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Evaluación</w:t>
            </w:r>
          </w:p>
        </w:tc>
      </w:tr>
      <w:tr w:rsidR="00000000" w14:paraId="4167D5A8"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13514C"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Proceso de Evaluación y Selección del Postulante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2A6D9"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16/03/2026-27/03/2026</w:t>
            </w:r>
          </w:p>
        </w:tc>
      </w:tr>
      <w:tr w:rsidR="00000000" w14:paraId="0B841DDC"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7C6D91"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Finalización</w:t>
            </w:r>
          </w:p>
        </w:tc>
      </w:tr>
      <w:tr w:rsidR="00000000" w14:paraId="55CFC4CD"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7A2DA7"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Finalización del Proceso</w:t>
            </w:r>
          </w:p>
        </w:tc>
        <w:tc>
          <w:tcPr>
            <w:tcW w:w="0" w:type="auto"/>
            <w:tcBorders>
              <w:top w:val="outset" w:sz="6" w:space="0" w:color="auto"/>
              <w:left w:val="outset" w:sz="6" w:space="0" w:color="auto"/>
              <w:bottom w:val="outset" w:sz="6" w:space="0" w:color="auto"/>
              <w:right w:val="outset" w:sz="6" w:space="0" w:color="auto"/>
            </w:tcBorders>
            <w:vAlign w:val="center"/>
            <w:hideMark/>
          </w:tcPr>
          <w:p w14:paraId="78364A5D"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31/03/2026-31/03/2026</w:t>
            </w:r>
          </w:p>
        </w:tc>
      </w:tr>
    </w:tbl>
    <w:p w14:paraId="1EBDBF6C" w14:textId="77777777" w:rsidR="00000000" w:rsidRDefault="00000000">
      <w:pPr>
        <w:shd w:val="clear" w:color="auto" w:fill="FFFFFF"/>
        <w:spacing w:line="210" w:lineRule="atLeast"/>
        <w:rPr>
          <w:bCs/>
          <w:color w:val="000000"/>
          <w:sz w:val="16"/>
          <w:szCs w:val="16"/>
        </w:rPr>
      </w:pPr>
      <w:r>
        <w:rPr>
          <w:bCs/>
          <w:color w:val="000000"/>
          <w:sz w:val="16"/>
          <w:szCs w:val="16"/>
        </w:rPr>
        <w:br/>
        <w:t xml:space="preserve">El portal estará habilitado para recibir postulaciones hasta las </w:t>
      </w:r>
      <w:r>
        <w:rPr>
          <w:b/>
          <w:bCs/>
          <w:color w:val="000000"/>
          <w:sz w:val="16"/>
          <w:szCs w:val="16"/>
        </w:rPr>
        <w:t>23:59</w:t>
      </w:r>
      <w:r>
        <w:rPr>
          <w:bCs/>
          <w:color w:val="000000"/>
          <w:sz w:val="16"/>
          <w:szCs w:val="16"/>
        </w:rPr>
        <w:t xml:space="preserve"> horas del día </w:t>
      </w:r>
      <w:r>
        <w:rPr>
          <w:b/>
          <w:bCs/>
          <w:color w:val="000000"/>
          <w:sz w:val="16"/>
          <w:szCs w:val="16"/>
        </w:rPr>
        <w:t>13/03/2026</w:t>
      </w:r>
      <w:r>
        <w:rPr>
          <w:bCs/>
          <w:color w:val="000000"/>
          <w:sz w:val="16"/>
          <w:szCs w:val="16"/>
        </w:rPr>
        <w:br/>
      </w:r>
    </w:p>
    <w:p w14:paraId="706548A1" w14:textId="77777777" w:rsidR="00000000" w:rsidRDefault="00000000">
      <w:pPr>
        <w:shd w:val="clear" w:color="auto" w:fill="FFFFFF"/>
        <w:spacing w:line="210" w:lineRule="atLeast"/>
        <w:rPr>
          <w:bCs/>
          <w:color w:val="000000"/>
          <w:sz w:val="16"/>
          <w:szCs w:val="16"/>
        </w:rPr>
      </w:pPr>
      <w:r>
        <w:rPr>
          <w:bCs/>
          <w:color w:val="000000"/>
          <w:sz w:val="16"/>
          <w:szCs w:val="16"/>
        </w:rPr>
        <w:br/>
      </w:r>
      <w:r>
        <w:rPr>
          <w:b/>
          <w:bCs/>
          <w:color w:val="000000"/>
          <w:sz w:val="16"/>
          <w:szCs w:val="16"/>
        </w:rPr>
        <w:t>Correo de Contacto</w:t>
      </w:r>
      <w:r>
        <w:rPr>
          <w:bCs/>
          <w:color w:val="000000"/>
          <w:sz w:val="16"/>
          <w:szCs w:val="16"/>
        </w:rPr>
        <w:br/>
      </w:r>
      <w:r>
        <w:rPr>
          <w:bCs/>
          <w:color w:val="000000"/>
          <w:sz w:val="17"/>
          <w:szCs w:val="17"/>
        </w:rPr>
        <w:t>postulaciones@crsmaipu.cl</w:t>
      </w:r>
      <w:r>
        <w:rPr>
          <w:bCs/>
          <w:color w:val="000000"/>
          <w:sz w:val="16"/>
          <w:szCs w:val="16"/>
        </w:rPr>
        <w:br/>
      </w:r>
    </w:p>
    <w:p w14:paraId="78A043BE" w14:textId="77777777" w:rsidR="00000000" w:rsidRDefault="00000000">
      <w:pPr>
        <w:shd w:val="clear" w:color="auto" w:fill="FFFFFF"/>
        <w:spacing w:line="210" w:lineRule="atLeast"/>
        <w:rPr>
          <w:bCs/>
          <w:color w:val="000000"/>
          <w:sz w:val="16"/>
          <w:szCs w:val="16"/>
        </w:rPr>
      </w:pPr>
      <w:r>
        <w:rPr>
          <w:b/>
          <w:bCs/>
          <w:color w:val="000000"/>
          <w:sz w:val="16"/>
          <w:szCs w:val="16"/>
        </w:rPr>
        <w:t>Condiciones Generales</w:t>
      </w:r>
    </w:p>
    <w:p w14:paraId="3753C895" w14:textId="77777777" w:rsidR="00000000" w:rsidRDefault="00000000">
      <w:pPr>
        <w:rPr>
          <w:rFonts w:eastAsia="Times New Roman"/>
          <w:bCs/>
          <w:color w:val="000000"/>
          <w:sz w:val="16"/>
          <w:szCs w:val="16"/>
        </w:rPr>
      </w:pPr>
      <w:r>
        <w:rPr>
          <w:rFonts w:eastAsia="Times New Roman"/>
          <w:bCs/>
          <w:color w:val="000000"/>
          <w:sz w:val="17"/>
          <w:szCs w:val="17"/>
        </w:rPr>
        <w:t>Una vez aceptado el cargo, la persona seleccionada será contratada en calidad jurídica “a contrata” en el cargo correspondiente, bajo la modalidad de empleo a prueba por un período de 3 meses.  Si la evaluación así lo determina, el o la candidata continuara 6 meses más, conforme a lo señalado en el Estatuto Administrativo.</w:t>
      </w:r>
      <w:r>
        <w:rPr>
          <w:rFonts w:eastAsia="Times New Roman"/>
          <w:bCs/>
          <w:color w:val="000000"/>
          <w:sz w:val="17"/>
          <w:szCs w:val="17"/>
        </w:rPr>
        <w:br/>
        <w:t>Que, por su parte, el art. 2, inciso final, del Estatuto Administrativo, permiten la confección de un listado de postulantes elegibles para efectos de atender futuras necesidades de ingreso, sin realizar un nuevo concurso, estableciendo que la elegibilidad de estos postulantes tendrá una duración de hasta doce meses, contados desde la fecha en que el comité de selección concluyó el correspondiente proceso de selección.</w:t>
      </w:r>
      <w:r>
        <w:rPr>
          <w:rFonts w:eastAsia="Times New Roman"/>
          <w:bCs/>
          <w:color w:val="000000"/>
          <w:sz w:val="17"/>
          <w:szCs w:val="17"/>
        </w:rPr>
        <w:br/>
        <w:t>Las postulaciones serán recibidas a través del Portal de empleos públicos (www.empleospublicos.cl), por postulación en línea, adjuntando los documentos solicitados en “Documentos requeridos para postular”</w:t>
      </w:r>
      <w:r>
        <w:rPr>
          <w:rFonts w:eastAsia="Times New Roman"/>
          <w:bCs/>
          <w:color w:val="000000"/>
          <w:sz w:val="17"/>
          <w:szCs w:val="17"/>
        </w:rPr>
        <w:br/>
        <w:t xml:space="preserve">Para postular a través del portal deberán registrarse previamente como usuarios de éste y completar el </w:t>
      </w:r>
      <w:proofErr w:type="spellStart"/>
      <w:r>
        <w:rPr>
          <w:rFonts w:eastAsia="Times New Roman"/>
          <w:bCs/>
          <w:color w:val="000000"/>
          <w:sz w:val="17"/>
          <w:szCs w:val="17"/>
        </w:rPr>
        <w:t>Curriculum</w:t>
      </w:r>
      <w:proofErr w:type="spellEnd"/>
      <w:r>
        <w:rPr>
          <w:rFonts w:eastAsia="Times New Roman"/>
          <w:bCs/>
          <w:color w:val="000000"/>
          <w:sz w:val="17"/>
          <w:szCs w:val="17"/>
        </w:rPr>
        <w:t xml:space="preserve"> Vitae del Portal (en el menú MI CV, en VER CV) y adjuntar los documentos solicitados en Documentos Requeridos para postular. Dichos documentos deben ser actualizados y adjuntados para poder postular.</w:t>
      </w:r>
      <w:r>
        <w:rPr>
          <w:rFonts w:eastAsia="Times New Roman"/>
          <w:bCs/>
          <w:color w:val="000000"/>
          <w:sz w:val="17"/>
          <w:szCs w:val="17"/>
        </w:rPr>
        <w:br/>
        <w:t>A la fecha de cierre de la recepción de las postulaciones al proceso de selección, las personas interesadas deberán haber acreditado por completo todos sus antecedentes y requisitos solicitados.</w:t>
      </w:r>
      <w:r>
        <w:rPr>
          <w:rFonts w:eastAsia="Times New Roman"/>
          <w:bCs/>
          <w:color w:val="000000"/>
          <w:sz w:val="17"/>
          <w:szCs w:val="17"/>
        </w:rPr>
        <w:br/>
        <w:t>Los(as) postulantes son responsables de la completitud y veracidad de la información que presentan, así también de su respectiva actualización. Los(as) postulantes que no adjunten los antecedentes requeridos quedarán fuera del proceso.</w:t>
      </w:r>
      <w:r>
        <w:rPr>
          <w:rFonts w:eastAsia="Times New Roman"/>
          <w:bCs/>
          <w:color w:val="000000"/>
          <w:sz w:val="17"/>
          <w:szCs w:val="17"/>
        </w:rPr>
        <w:br/>
        <w:t>CRS Maipú, se reservará el derecho de declarar desierto el Proceso de Selección, si en cualquiera de sus etapas se estimase que los postulantes, no reúnen las condiciones suficientes para ocupar las vacantes.</w:t>
      </w:r>
      <w:r>
        <w:rPr>
          <w:rFonts w:eastAsia="Times New Roman"/>
          <w:bCs/>
          <w:color w:val="000000"/>
          <w:sz w:val="17"/>
          <w:szCs w:val="17"/>
        </w:rPr>
        <w:br/>
        <w:t>Los(as) postulantes que presenten alguna discapacidad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proceso de selección.</w:t>
      </w:r>
      <w:r>
        <w:rPr>
          <w:rFonts w:eastAsia="Times New Roman"/>
          <w:bCs/>
          <w:color w:val="000000"/>
          <w:sz w:val="17"/>
          <w:szCs w:val="17"/>
        </w:rPr>
        <w:br/>
        <w:t>No se considerarán postulaciones ni antecedentes fuera del plazo establecido.</w:t>
      </w:r>
      <w:r>
        <w:rPr>
          <w:rFonts w:eastAsia="Times New Roman"/>
          <w:bCs/>
          <w:color w:val="000000"/>
          <w:sz w:val="17"/>
          <w:szCs w:val="17"/>
        </w:rPr>
        <w:br/>
        <w:t>La fecha y hora de cierre de recepción de antecedentes, será siempre en día hábil y con cierre a las 23:59 horas.</w:t>
      </w:r>
      <w:r>
        <w:rPr>
          <w:rFonts w:eastAsia="Times New Roman"/>
          <w:bCs/>
          <w:color w:val="000000"/>
          <w:sz w:val="17"/>
          <w:szCs w:val="17"/>
        </w:rPr>
        <w:br/>
        <w:t>La notificación de los(as) postulantes seleccionados(as) en cada una de las etapas será a través de vía telefónica o correo electrónico, utilizando este último medio como respaldo de la citación.</w:t>
      </w:r>
      <w:r>
        <w:rPr>
          <w:rFonts w:eastAsia="Times New Roman"/>
          <w:bCs/>
          <w:color w:val="000000"/>
          <w:sz w:val="17"/>
          <w:szCs w:val="17"/>
        </w:rPr>
        <w:br/>
        <w:t>Será de exclusiva responsabilidad de los postulantes mantener el correo electrónico individualizado y no saturado, a efectos de recibir las comunicaciones electrónicas que se dispongan, como, asimismo, el número actualizado de teléfono celular.</w:t>
      </w:r>
      <w:r>
        <w:rPr>
          <w:rFonts w:eastAsia="Times New Roman"/>
          <w:bCs/>
          <w:color w:val="000000"/>
          <w:sz w:val="17"/>
          <w:szCs w:val="17"/>
        </w:rPr>
        <w:br/>
        <w:t>El Cronograma puede sufrir modificaciones por causas no previstas, en dichos casos, los postulantes preseleccionados serán informados con la debida antelación.</w:t>
      </w:r>
      <w:r>
        <w:rPr>
          <w:rFonts w:eastAsia="Times New Roman"/>
          <w:bCs/>
          <w:color w:val="000000"/>
          <w:sz w:val="17"/>
          <w:szCs w:val="17"/>
        </w:rPr>
        <w:br/>
        <w:t>No se recibirán postulaciones mediante otra vía que no sea el Portal de Empleos Públicos (www.empleospublicos.cl)</w:t>
      </w:r>
      <w:r>
        <w:rPr>
          <w:rFonts w:eastAsia="Times New Roman"/>
          <w:bCs/>
          <w:color w:val="000000"/>
          <w:sz w:val="17"/>
          <w:szCs w:val="17"/>
        </w:rPr>
        <w:br/>
        <w:t xml:space="preserve">Toda duda o consulta puede ser enviada a postulaciones@crsmaipu.cl </w:t>
      </w:r>
    </w:p>
    <w:p w14:paraId="2442E003" w14:textId="77777777" w:rsidR="00000000" w:rsidRDefault="00000000">
      <w:pPr>
        <w:rPr>
          <w:rFonts w:eastAsia="Times New Roman"/>
          <w:bCs/>
          <w:color w:val="000000"/>
          <w:sz w:val="16"/>
          <w:szCs w:val="16"/>
        </w:rPr>
      </w:pPr>
      <w:r>
        <w:rPr>
          <w:rFonts w:eastAsia="Times New Roman"/>
          <w:bCs/>
          <w:color w:val="000000"/>
          <w:sz w:val="16"/>
          <w:szCs w:val="16"/>
        </w:rPr>
        <w:br/>
      </w:r>
    </w:p>
    <w:p w14:paraId="34988B70" w14:textId="77777777" w:rsidR="00000000" w:rsidRDefault="00000000">
      <w:pPr>
        <w:jc w:val="center"/>
        <w:divId w:val="415902263"/>
        <w:rPr>
          <w:rFonts w:eastAsia="Times New Roman"/>
          <w:color w:val="99668F"/>
          <w:sz w:val="18"/>
          <w:szCs w:val="18"/>
          <w:lang w:val="es-ES"/>
        </w:rPr>
      </w:pPr>
      <w:r>
        <w:rPr>
          <w:rFonts w:eastAsia="Times New Roman"/>
          <w:b/>
          <w:bCs/>
          <w:color w:val="99668F"/>
          <w:sz w:val="18"/>
          <w:szCs w:val="18"/>
          <w:lang w:val="es-ES"/>
        </w:rPr>
        <w:t>Las condiciones y contenidos especificados en esta publicación son determinados por el servicio público convocante. Asimismo, el desarrollo del proceso de selección es de su exclusiva responsabilidad.</w:t>
      </w:r>
      <w:r>
        <w:rPr>
          <w:rFonts w:eastAsia="Times New Roman"/>
          <w:color w:val="99668F"/>
          <w:sz w:val="18"/>
          <w:szCs w:val="18"/>
          <w:lang w:val="es-ES"/>
        </w:rPr>
        <w:t xml:space="preserve"> </w:t>
      </w:r>
    </w:p>
    <w:p w14:paraId="5B2A11F1" w14:textId="77777777" w:rsidR="00954C2A" w:rsidRDefault="00954C2A"/>
    <w:sectPr w:rsidR="00954C2A">
      <w:pgSz w:w="11906" w:h="16838"/>
      <w:pgMar w:top="1258" w:right="1106" w:bottom="1417"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B5E86"/>
    <w:multiLevelType w:val="multilevel"/>
    <w:tmpl w:val="0256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2741C"/>
    <w:multiLevelType w:val="multilevel"/>
    <w:tmpl w:val="2DA2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023911"/>
    <w:multiLevelType w:val="multilevel"/>
    <w:tmpl w:val="1828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585217">
    <w:abstractNumId w:val="1"/>
  </w:num>
  <w:num w:numId="2" w16cid:durableId="1765102631">
    <w:abstractNumId w:val="2"/>
  </w:num>
  <w:num w:numId="3" w16cid:durableId="1314140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0"/>
  <w:characterSpacingControl w:val="doNotCompress"/>
  <w:compa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52373"/>
    <w:rsid w:val="004264E8"/>
    <w:rsid w:val="00652373"/>
    <w:rsid w:val="00954C2A"/>
    <w:rsid w:val="00F76E1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AE208"/>
  <w15:chartTrackingRefBased/>
  <w15:docId w15:val="{FFF4D081-14D3-4233-BB38-BA34234E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Arial" w:hAnsi="Arial" w:cs="Arial"/>
      <w:sz w:val="24"/>
      <w:szCs w:val="24"/>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paragraph" w:customStyle="1" w:styleId="msonormal0">
    <w:name w:val="msonormal"/>
    <w:basedOn w:val="Normal"/>
    <w:pPr>
      <w:spacing w:before="100" w:beforeAutospacing="1" w:after="100" w:afterAutospacing="1"/>
    </w:pPr>
    <w:rPr>
      <w:lang w:val="es-MX"/>
    </w:rPr>
  </w:style>
  <w:style w:type="paragraph" w:styleId="NormalWeb">
    <w:name w:val="Normal (Web)"/>
    <w:basedOn w:val="Normal"/>
    <w:pPr>
      <w:spacing w:before="100" w:beforeAutospacing="1" w:after="100" w:afterAutospacing="1"/>
    </w:pPr>
    <w:rPr>
      <w:lang w:val="es-MX"/>
    </w:rPr>
  </w:style>
  <w:style w:type="paragraph" w:customStyle="1" w:styleId="EstiloEstiloTiacute">
    <w:name w:val="Estilo Estilo T&amp;iacute"/>
    <w:aliases w:val="tulo 2 + Arial Narrow + Centrado"/>
    <w:basedOn w:val="Normal"/>
    <w:pPr>
      <w:keepNext/>
      <w:widowControl w:val="0"/>
      <w:snapToGrid w:val="0"/>
      <w:spacing w:line="360" w:lineRule="auto"/>
      <w:jc w:val="center"/>
      <w:outlineLvl w:val="1"/>
    </w:pPr>
    <w:rPr>
      <w:rFonts w:ascii="Arial Narrow" w:hAnsi="Arial Narrow"/>
      <w:b/>
      <w:bCs/>
      <w:smallCaps/>
      <w:spacing w:val="-2"/>
      <w:sz w:val="28"/>
      <w:szCs w:val="20"/>
    </w:rPr>
  </w:style>
  <w:style w:type="character" w:customStyle="1" w:styleId="e01txtgris021">
    <w:name w:val="e01txtgris021"/>
    <w:basedOn w:val="Fuentedeprrafopredeter"/>
  </w:style>
  <w:style w:type="character" w:customStyle="1" w:styleId="e01txtgris0210">
    <w:name w:val="e01_txtgris021"/>
    <w:basedOn w:val="Fuentedeprrafopredeter"/>
    <w:rPr>
      <w:b/>
      <w:bCs/>
      <w:strike w:val="0"/>
      <w:dstrike w:val="0"/>
      <w:color w:val="666666"/>
      <w:sz w:val="27"/>
      <w:szCs w:val="27"/>
      <w:u w:val="none"/>
      <w:effect w:val="none"/>
    </w:rPr>
  </w:style>
  <w:style w:type="character" w:styleId="Textoennegrita">
    <w:name w:val="Strong"/>
    <w:basedOn w:val="Fuentedeprrafopredeter"/>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02263">
      <w:marLeft w:val="0"/>
      <w:marRight w:val="0"/>
      <w:marTop w:val="0"/>
      <w:marBottom w:val="0"/>
      <w:divBdr>
        <w:top w:val="single" w:sz="6" w:space="5" w:color="666666"/>
        <w:left w:val="single" w:sz="6" w:space="0" w:color="666666"/>
        <w:bottom w:val="single" w:sz="6" w:space="5" w:color="666666"/>
        <w:right w:val="single" w:sz="6" w:space="0" w:color="666666"/>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3431</Words>
  <Characters>18873</Characters>
  <Application>Microsoft Office Word</Application>
  <DocSecurity>0</DocSecurity>
  <Lines>157</Lines>
  <Paragraphs>44</Paragraphs>
  <ScaleCrop>false</ScaleCrop>
  <Company>.</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AVISOS DE TRABAJO</dc:title>
  <dc:subject/>
  <dc:creator>.</dc:creator>
  <cp:keywords/>
  <dc:description/>
  <cp:lastModifiedBy>Juan Carlos Adasme Pinto</cp:lastModifiedBy>
  <cp:revision>2</cp:revision>
  <dcterms:created xsi:type="dcterms:W3CDTF">2026-03-04T10:55:00Z</dcterms:created>
  <dcterms:modified xsi:type="dcterms:W3CDTF">2026-03-04T10:55:00Z</dcterms:modified>
</cp:coreProperties>
</file>