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00B" w:rsidRPr="008B51CE" w:rsidRDefault="00A70BFB" w:rsidP="00225DE6">
      <w:pPr>
        <w:spacing w:after="0" w:line="360" w:lineRule="auto"/>
        <w:jc w:val="center"/>
      </w:pPr>
      <w:r w:rsidRPr="008B51CE">
        <w:t>NOS DORARON LA PÍLDORA</w:t>
      </w:r>
    </w:p>
    <w:p w:rsidR="00A70BFB" w:rsidRPr="008B51CE" w:rsidRDefault="00D51F65" w:rsidP="00225DE6">
      <w:pPr>
        <w:spacing w:after="0" w:line="360" w:lineRule="auto"/>
        <w:jc w:val="center"/>
      </w:pPr>
      <w:r>
        <w:t>J</w:t>
      </w:r>
      <w:r w:rsidR="00A70BFB" w:rsidRPr="008B51CE">
        <w:t>uicio crítico a la “Ley de Fármacos”</w:t>
      </w:r>
    </w:p>
    <w:p w:rsidR="00A70BFB" w:rsidRPr="008B51CE" w:rsidRDefault="00A70BFB" w:rsidP="00225DE6">
      <w:pPr>
        <w:spacing w:after="0" w:line="360" w:lineRule="auto"/>
        <w:jc w:val="center"/>
      </w:pPr>
    </w:p>
    <w:p w:rsidR="00A70BFB" w:rsidRPr="008B51CE" w:rsidRDefault="00A70BFB" w:rsidP="00225DE6">
      <w:pPr>
        <w:spacing w:after="0" w:line="360" w:lineRule="auto"/>
        <w:jc w:val="right"/>
      </w:pPr>
      <w:r w:rsidRPr="008B51CE">
        <w:t>Dr. Q.F. Hernán Vergara Mardones</w:t>
      </w:r>
    </w:p>
    <w:p w:rsidR="00A70BFB" w:rsidRPr="008B51CE" w:rsidRDefault="00A70BFB" w:rsidP="00225DE6">
      <w:pPr>
        <w:spacing w:after="0" w:line="360" w:lineRule="auto"/>
        <w:jc w:val="right"/>
      </w:pPr>
      <w:r w:rsidRPr="008B51CE">
        <w:t>Prof. Introducción a la Farmacia</w:t>
      </w:r>
    </w:p>
    <w:p w:rsidR="00A70BFB" w:rsidRPr="008B51CE" w:rsidRDefault="00A70BFB" w:rsidP="00225DE6">
      <w:pPr>
        <w:spacing w:after="0" w:line="360" w:lineRule="auto"/>
        <w:jc w:val="right"/>
      </w:pPr>
      <w:r w:rsidRPr="008B51CE">
        <w:t>Universidad de Chile</w:t>
      </w:r>
    </w:p>
    <w:p w:rsidR="00A70BFB" w:rsidRPr="008B51CE" w:rsidRDefault="00A70BFB" w:rsidP="00225DE6">
      <w:pPr>
        <w:spacing w:after="0" w:line="360" w:lineRule="auto"/>
        <w:jc w:val="right"/>
      </w:pPr>
    </w:p>
    <w:p w:rsidR="0021395C" w:rsidRPr="008B51CE" w:rsidRDefault="00A70BFB" w:rsidP="00225DE6">
      <w:pPr>
        <w:spacing w:after="0" w:line="360" w:lineRule="auto"/>
        <w:ind w:firstLine="708"/>
        <w:jc w:val="both"/>
      </w:pPr>
      <w:r w:rsidRPr="008B51CE">
        <w:t xml:space="preserve">Con la parafernalia habitual, el Gobierno anunció la dictación de la llamada </w:t>
      </w:r>
      <w:r w:rsidRPr="00D51F65">
        <w:rPr>
          <w:b/>
        </w:rPr>
        <w:t>Ley de</w:t>
      </w:r>
      <w:r w:rsidRPr="008B51CE">
        <w:rPr>
          <w:u w:val="single"/>
        </w:rPr>
        <w:t xml:space="preserve"> </w:t>
      </w:r>
      <w:r w:rsidRPr="00D51F65">
        <w:rPr>
          <w:b/>
        </w:rPr>
        <w:t xml:space="preserve">Fármacos </w:t>
      </w:r>
      <w:r w:rsidRPr="008B51CE">
        <w:t xml:space="preserve">y sus autoridades, el presidente Piñera y el ministro Mañalich, aseguraron que con ella se resolverían los problemas de acceso, calidad y precios de los medicamentos. Esta es una visión muy optimista que merece un análisis de los efectos que puede producir esta nueva herramienta, a la luz de conocimientos y criterios científicos y técnicos, </w:t>
      </w:r>
      <w:r w:rsidR="0021395C" w:rsidRPr="008B51CE">
        <w:t>así como una observación de las dificultades que encontrarán sus disposiciones en el terreno real.</w:t>
      </w:r>
    </w:p>
    <w:p w:rsidR="0021395C" w:rsidRPr="008B51CE" w:rsidRDefault="0021395C" w:rsidP="00D46CE6">
      <w:pPr>
        <w:spacing w:after="0" w:line="360" w:lineRule="auto"/>
        <w:ind w:firstLine="708"/>
        <w:jc w:val="both"/>
      </w:pPr>
      <w:r w:rsidRPr="008B51CE">
        <w:t xml:space="preserve">Tres son los aspectos más relevantes que contiene esta ley: la dispensación por dosis unitaria, la instalación de “góndolas” para la elección de medicamentos sintomáticos y la prescripción médica por principio activo. Se debe sumar la acreditación de medicamentos bioequivalentes iniciada con anterioridad. </w:t>
      </w:r>
    </w:p>
    <w:p w:rsidR="0021395C" w:rsidRPr="008B51CE" w:rsidRDefault="0021395C" w:rsidP="00D46CE6">
      <w:pPr>
        <w:spacing w:after="0" w:line="360" w:lineRule="auto"/>
        <w:ind w:firstLine="708"/>
        <w:jc w:val="both"/>
      </w:pPr>
      <w:r w:rsidRPr="008B51CE">
        <w:t>Cada uno de estos aspectos merece un examen serio y realista.</w:t>
      </w:r>
    </w:p>
    <w:p w:rsidR="0021395C" w:rsidRPr="008B51CE" w:rsidRDefault="0021395C" w:rsidP="00D46CE6">
      <w:pPr>
        <w:spacing w:after="0" w:line="360" w:lineRule="auto"/>
        <w:ind w:firstLine="708"/>
        <w:jc w:val="both"/>
      </w:pPr>
      <w:r w:rsidRPr="008B51CE">
        <w:t xml:space="preserve">La dispensación por dosis unitaria obliga a fraccionar el contenido de los envases clásicos. Esta operación exige un riguroso control del lugar y la forma en que se efectuará el procedimiento. </w:t>
      </w:r>
    </w:p>
    <w:p w:rsidR="0021395C" w:rsidRPr="008B51CE" w:rsidRDefault="0021395C" w:rsidP="00D46CE6">
      <w:pPr>
        <w:spacing w:after="0" w:line="360" w:lineRule="auto"/>
        <w:ind w:firstLine="708"/>
        <w:jc w:val="both"/>
      </w:pPr>
      <w:r w:rsidRPr="008B51CE">
        <w:t xml:space="preserve">Los medicamentos llegan a las oficinas de farmacia tras satisfacer rigurosas exigencias de producción, control de calidad, almacenamiento y distribución. No se debe perder tal cadena de seguridad si no se dispone de infraestructura e instalaciones que le permitan al farmacéutico acreditar que no se rompe tal sucesión de requisitos cumplidos. </w:t>
      </w:r>
    </w:p>
    <w:p w:rsidR="000A4FC9" w:rsidRPr="008B51CE" w:rsidRDefault="0021395C" w:rsidP="00D46CE6">
      <w:pPr>
        <w:spacing w:after="0" w:line="360" w:lineRule="auto"/>
        <w:ind w:firstLine="708"/>
        <w:jc w:val="both"/>
      </w:pPr>
      <w:r w:rsidRPr="008B51CE">
        <w:t>Otro problema es el envase en que se entregarán a los pacientes los medicamentos fraccionados, probablemente sin todos los rótulos necesarios. Mejor hubiera sido exigir a los laboratorios productores la confección de estuches con menor cantidad de comprimidos</w:t>
      </w:r>
      <w:r w:rsidR="000A4FC9" w:rsidRPr="008B51CE">
        <w:t xml:space="preserve"> o cápsulas, según tratamientos. </w:t>
      </w:r>
    </w:p>
    <w:p w:rsidR="00927A13" w:rsidRPr="008B51CE" w:rsidRDefault="000A4FC9" w:rsidP="00D46CE6">
      <w:pPr>
        <w:spacing w:after="0" w:line="360" w:lineRule="auto"/>
        <w:ind w:firstLine="708"/>
        <w:jc w:val="both"/>
      </w:pPr>
      <w:r w:rsidRPr="008B51CE">
        <w:t xml:space="preserve">Por otra parte, la </w:t>
      </w:r>
      <w:r w:rsidR="00927A13" w:rsidRPr="008B51CE">
        <w:t xml:space="preserve">operación de fraccionamiento tendrá un costo adicional que en muchos casos puede ser mayor que el ahorro producido por el expendio de un número menor de unidades. </w:t>
      </w:r>
    </w:p>
    <w:p w:rsidR="00225DE6" w:rsidRPr="008B51CE" w:rsidRDefault="00225DE6" w:rsidP="00225DE6">
      <w:pPr>
        <w:spacing w:after="0" w:line="360" w:lineRule="auto"/>
        <w:ind w:firstLine="708"/>
        <w:jc w:val="both"/>
      </w:pPr>
    </w:p>
    <w:p w:rsidR="00927A13" w:rsidRPr="008B51CE" w:rsidRDefault="00D51F65" w:rsidP="00225DE6">
      <w:pPr>
        <w:spacing w:after="0" w:line="360" w:lineRule="auto"/>
        <w:ind w:firstLine="708"/>
        <w:jc w:val="both"/>
      </w:pPr>
      <w:r>
        <w:lastRenderedPageBreak/>
        <w:t>Por último</w:t>
      </w:r>
      <w:r w:rsidR="00927A13" w:rsidRPr="008B51CE">
        <w:t>, sólo en formas farmacéuticas sólidas es factible un fraccionamiento. Que la gente no se llame a engaño: un fraccionamiento es impracticable o absurdo en formas farmacéuticas líquidas y semisólidas.</w:t>
      </w:r>
    </w:p>
    <w:p w:rsidR="00927A13" w:rsidRPr="008B51CE" w:rsidRDefault="00927A13" w:rsidP="00D46CE6">
      <w:pPr>
        <w:spacing w:after="0" w:line="360" w:lineRule="auto"/>
        <w:ind w:firstLine="708"/>
        <w:jc w:val="both"/>
      </w:pPr>
      <w:r w:rsidRPr="008B51CE">
        <w:t>El tema de las “góndolas” al interior de las farmacias es recurrente. Es una victoria mínima para aquellos que han pretendido reiteradamente vender medicamentos fuera de las farmacias o habilitar la existencia de almacenes farmacéuticos en cualquier lugar d</w:t>
      </w:r>
      <w:r w:rsidR="00D51F65">
        <w:t>el país. E</w:t>
      </w:r>
      <w:r w:rsidRPr="008B51CE">
        <w:t>sos promotores, felizmente, han fracasado una vez más.</w:t>
      </w:r>
    </w:p>
    <w:p w:rsidR="00A70BFB" w:rsidRPr="008B51CE" w:rsidRDefault="00927A13" w:rsidP="00D46CE6">
      <w:pPr>
        <w:spacing w:after="0" w:line="360" w:lineRule="auto"/>
        <w:ind w:firstLine="708"/>
        <w:jc w:val="both"/>
      </w:pPr>
      <w:r w:rsidRPr="008B51CE">
        <w:t>Menos mal que las “góndolas” no serán obligatorias, porque muchas farmacias no tienen espacio para situarlas fuera de los mesones o no disponen de recursos para contratar vigilantes para impedir sustracciones.</w:t>
      </w:r>
    </w:p>
    <w:p w:rsidR="008E78EC" w:rsidRPr="008B51CE" w:rsidRDefault="00927A13" w:rsidP="00D46CE6">
      <w:pPr>
        <w:spacing w:after="0" w:line="360" w:lineRule="auto"/>
        <w:ind w:firstLine="708"/>
        <w:jc w:val="both"/>
      </w:pPr>
      <w:r w:rsidRPr="008B51CE">
        <w:t xml:space="preserve">Pero no es este el problema mayor que originan estas “góndolas” que ofrecen un acceso sin intermediarios – lo dice la ley – a los medicamentos sintomáticos. El sistema estimula la automedicación y deteriora aún más el respeto por el medicamento. </w:t>
      </w:r>
      <w:r w:rsidR="008E78EC" w:rsidRPr="008B51CE">
        <w:t>Será como proveerse de ketchup o mayonesa. La situación empeora si recordamos que en Chile no existe Cultura del Medicamento.</w:t>
      </w:r>
    </w:p>
    <w:p w:rsidR="00927A13" w:rsidRPr="008B51CE" w:rsidRDefault="008E78EC" w:rsidP="00D46CE6">
      <w:pPr>
        <w:spacing w:after="0" w:line="360" w:lineRule="auto"/>
        <w:ind w:firstLine="708"/>
        <w:jc w:val="both"/>
      </w:pPr>
      <w:r w:rsidRPr="008B51CE">
        <w:t>Si todo lo anterior fuera poco, la situación se agrava en</w:t>
      </w:r>
      <w:r w:rsidR="00D51F65">
        <w:t xml:space="preserve"> cuanto a  los </w:t>
      </w:r>
      <w:r w:rsidR="001255C3">
        <w:t xml:space="preserve">posibles </w:t>
      </w:r>
      <w:r w:rsidR="00D51F65">
        <w:t>efectos iatro</w:t>
      </w:r>
      <w:r w:rsidR="001255C3">
        <w:t xml:space="preserve">génicos. Es de temer que ello ocurra con una </w:t>
      </w:r>
      <w:r w:rsidR="00D51F65">
        <w:t>interpretación</w:t>
      </w:r>
      <w:r w:rsidR="001255C3">
        <w:t xml:space="preserve"> errada</w:t>
      </w:r>
      <w:r w:rsidR="00D51F65">
        <w:t xml:space="preserve"> de </w:t>
      </w:r>
      <w:r w:rsidR="001255C3">
        <w:t xml:space="preserve">los rótulos </w:t>
      </w:r>
      <w:r w:rsidR="00D51F65">
        <w:t>que llevará</w:t>
      </w:r>
      <w:r w:rsidR="001255C3">
        <w:t>n impresos.</w:t>
      </w:r>
      <w:r w:rsidR="00D51F65">
        <w:t xml:space="preserve"> </w:t>
      </w:r>
      <w:r w:rsidR="001255C3">
        <w:t xml:space="preserve">En ellos </w:t>
      </w:r>
      <w:r w:rsidR="00D51F65">
        <w:t xml:space="preserve">se indicarán el efecto terapéutico deseado y </w:t>
      </w:r>
      <w:r w:rsidR="001255C3">
        <w:t>los tratamientos a que pueden destinarse</w:t>
      </w:r>
      <w:r w:rsidRPr="008B51CE">
        <w:t>.</w:t>
      </w:r>
    </w:p>
    <w:p w:rsidR="008E78EC" w:rsidRPr="008B51CE" w:rsidRDefault="008E78EC" w:rsidP="00D46CE6">
      <w:pPr>
        <w:spacing w:after="0" w:line="360" w:lineRule="auto"/>
        <w:ind w:firstLine="708"/>
        <w:jc w:val="both"/>
      </w:pPr>
      <w:r w:rsidRPr="008B51CE">
        <w:t>En tercer lugar está en observación la prescripción por principio activo. El médico deberá incluir el nombre de un medicamento alternativo al producto innovador o sim</w:t>
      </w:r>
      <w:r w:rsidR="001255C3">
        <w:t>ilar de su elección. Está bien. P</w:t>
      </w:r>
      <w:r w:rsidRPr="008B51CE">
        <w:t>ero esta opción sólo tendrá sentido si el sustituto cumple con el requisito de ser equivalente terapéutico. Este es otro tema que requiere algunas exigencias hasta ahora no satisfechas plenamente.</w:t>
      </w:r>
    </w:p>
    <w:p w:rsidR="008E78EC" w:rsidRPr="008B51CE" w:rsidRDefault="008E78EC" w:rsidP="00D46CE6">
      <w:pPr>
        <w:spacing w:after="0" w:line="360" w:lineRule="auto"/>
        <w:ind w:firstLine="708"/>
        <w:jc w:val="both"/>
      </w:pPr>
      <w:r w:rsidRPr="008B51CE">
        <w:t xml:space="preserve">En efecto, los estudios destinados a acreditar equivalencia terapéutica se han efectuado bajo la presión de obtener aceleradamente un listado numeroso. Ha primado el afán de ofrecer medicamentos de menor precio en vez de  priorizar análisis definitivamente seguros y confiables con un respaldo sanitario impecable. </w:t>
      </w:r>
    </w:p>
    <w:p w:rsidR="007C3D6A" w:rsidRPr="008B51CE" w:rsidRDefault="008E78EC" w:rsidP="00D46CE6">
      <w:pPr>
        <w:spacing w:after="0" w:line="360" w:lineRule="auto"/>
        <w:ind w:firstLine="708"/>
        <w:jc w:val="both"/>
      </w:pPr>
      <w:r w:rsidRPr="008B51CE">
        <w:t xml:space="preserve">Muchas de las acreditaciones de bioequivalencia </w:t>
      </w:r>
      <w:r w:rsidR="007C3D6A" w:rsidRPr="008B51CE">
        <w:t>se otorgaron a productos elaborados en laborator</w:t>
      </w:r>
      <w:r w:rsidR="001255C3">
        <w:t>ios que no tenían entonces las n</w:t>
      </w:r>
      <w:r w:rsidR="007C3D6A" w:rsidRPr="008B51CE">
        <w:t xml:space="preserve">ormas de Buenas Prácticas de Manufactura (GMP) actualizadas. La gran mayoría de las acreditaciones se otorgaron sólo con exámenes “in vitro” que </w:t>
      </w:r>
      <w:r w:rsidR="007C3D6A" w:rsidRPr="008B51CE">
        <w:lastRenderedPageBreak/>
        <w:t>en algunos casos pueden ser suficientes – pero no en todos. Muchos medicamentos exigen pruebas “in vivo”.</w:t>
      </w:r>
    </w:p>
    <w:p w:rsidR="00225DE6" w:rsidRPr="008B51CE" w:rsidRDefault="007C3D6A" w:rsidP="00D46CE6">
      <w:pPr>
        <w:spacing w:after="0" w:line="360" w:lineRule="auto"/>
        <w:ind w:firstLine="708"/>
        <w:jc w:val="both"/>
      </w:pPr>
      <w:r w:rsidRPr="008B51CE">
        <w:t>Se usó mucho el expediente de las bioexenciones</w:t>
      </w:r>
      <w:r w:rsidR="00225DE6" w:rsidRPr="008B51CE">
        <w:t xml:space="preserve">, procedimiento aplicable a medicamentos sólidos de administración oral, según </w:t>
      </w:r>
      <w:r w:rsidR="001255C3">
        <w:t xml:space="preserve">las </w:t>
      </w:r>
      <w:r w:rsidR="00225DE6" w:rsidRPr="008B51CE">
        <w:t>normas del Sistema de Clasificación Biof</w:t>
      </w:r>
      <w:r w:rsidR="001255C3">
        <w:t xml:space="preserve">armacéutica (BCS). Este acepta que se practiquen </w:t>
      </w:r>
      <w:r w:rsidR="00225DE6" w:rsidRPr="008B51CE">
        <w:t>solamente mediciones de parámetros físicos y fisicoquímicos (solubilidad y permeabilidad intestinal que s</w:t>
      </w:r>
      <w:r w:rsidR="001255C3">
        <w:t xml:space="preserve">e hacen “in vitro”). En Chile se realizaron solamente las pruebas </w:t>
      </w:r>
      <w:r w:rsidR="00225DE6" w:rsidRPr="008B51CE">
        <w:t>de disolución, omitién</w:t>
      </w:r>
      <w:r w:rsidR="001255C3">
        <w:t xml:space="preserve">dose completamente las </w:t>
      </w:r>
      <w:r w:rsidR="00225DE6" w:rsidRPr="008B51CE">
        <w:t>de permeabilidad intestinal.</w:t>
      </w:r>
    </w:p>
    <w:p w:rsidR="00225DE6" w:rsidRPr="008B51CE" w:rsidRDefault="00225DE6" w:rsidP="00D46CE6">
      <w:pPr>
        <w:spacing w:after="0" w:line="360" w:lineRule="auto"/>
        <w:ind w:firstLine="708"/>
        <w:jc w:val="both"/>
      </w:pPr>
      <w:r w:rsidRPr="008B51CE">
        <w:t>Observando la lista de medicamentos bioequivalentes ya acreditados, se aprecia un número considerable de fármacos de uso exclusivamente clínico que no se expende habitualmente en farmacias, y una cantidad importante de medicamentos con un mismo principio activo, manteniéndose con ello</w:t>
      </w:r>
      <w:r w:rsidR="001255C3">
        <w:t xml:space="preserve"> la antigua “selva terapéutica”</w:t>
      </w:r>
      <w:r w:rsidRPr="008B51CE">
        <w:t>, esto es</w:t>
      </w:r>
      <w:r w:rsidR="001255C3">
        <w:t xml:space="preserve">, </w:t>
      </w:r>
      <w:r w:rsidRPr="008B51CE">
        <w:t xml:space="preserve"> la proliferación innecesaria de medicamentos semejantes.</w:t>
      </w:r>
    </w:p>
    <w:p w:rsidR="00225DE6" w:rsidRPr="008B51CE" w:rsidRDefault="001255C3" w:rsidP="00D46CE6">
      <w:pPr>
        <w:spacing w:after="0" w:line="360" w:lineRule="auto"/>
        <w:ind w:firstLine="708"/>
        <w:jc w:val="both"/>
      </w:pPr>
      <w:r>
        <w:t xml:space="preserve">La forma cómo se ha </w:t>
      </w:r>
      <w:r w:rsidR="00225DE6" w:rsidRPr="008B51CE">
        <w:t xml:space="preserve">destacado los méritos y ventajas de esta ley ha provocado una impresión falsa en el público. Se cree que </w:t>
      </w:r>
      <w:r>
        <w:t xml:space="preserve">todos </w:t>
      </w:r>
      <w:r w:rsidR="00225DE6" w:rsidRPr="008B51CE">
        <w:t>los medicamentos están incluidos en las nuevas normas y no es así. Muchos productos no requieren estudios de biodisponibilidad, entre ellos: soluciones acuosas inyectables, soluciones orales, polvos para reconstitución como solución, soluciones acuosas óticas y oftálmicas, soluciones tópicas y acuosas para nebulización o spray nasal. Si a ellos se suman las exclusion</w:t>
      </w:r>
      <w:r>
        <w:t xml:space="preserve">es ya señaladas, </w:t>
      </w:r>
      <w:r w:rsidR="00225DE6" w:rsidRPr="008B51CE">
        <w:t>se puede apreciar que no se debe prever la espectacular baja de precios prometida.</w:t>
      </w:r>
    </w:p>
    <w:p w:rsidR="00225DE6" w:rsidRPr="008B51CE" w:rsidRDefault="00225DE6" w:rsidP="00D46CE6">
      <w:pPr>
        <w:spacing w:after="0" w:line="360" w:lineRule="auto"/>
        <w:ind w:firstLine="708"/>
        <w:jc w:val="both"/>
      </w:pPr>
      <w:r w:rsidRPr="008B51CE">
        <w:t>Los grandes problemas de medicamentos no están superados y seguirán agobiando a la población mientras no se cambie el modelo de libre mercado dentro del cual operan las farmacias de cadena. En ellas impera un lucro exacerbado, la “velocidad de rotación” y la “integración vertical”  son normas estratégicas para el éxito comercial y la colusión de precios hiere el bolsillo y la salud de la gente.</w:t>
      </w:r>
    </w:p>
    <w:p w:rsidR="00225DE6" w:rsidRPr="008B51CE" w:rsidRDefault="00225DE6" w:rsidP="00D46CE6">
      <w:pPr>
        <w:spacing w:after="0" w:line="360" w:lineRule="auto"/>
        <w:ind w:firstLine="708"/>
        <w:jc w:val="both"/>
      </w:pPr>
      <w:r w:rsidRPr="008B51CE">
        <w:t xml:space="preserve">La nueva ley define la farmacia como un “Centro de Salud”. Es lo correcto, pues es el concepto opuesto a “Punto de Venta” imperante en Chile. Este cambio que es fundamental no tiene, sin embargo, respaldo en esta ley. Puede ser sólo el aporte de algún parlamentario en </w:t>
      </w:r>
      <w:r w:rsidR="00767BFD">
        <w:t xml:space="preserve">el primer paso del proyecto por el Senado. Probablemente, </w:t>
      </w:r>
      <w:r w:rsidRPr="008B51CE">
        <w:t>del Dr. Ruiz- Esquide.</w:t>
      </w:r>
    </w:p>
    <w:p w:rsidR="00225DE6" w:rsidRPr="008B51CE" w:rsidRDefault="00225DE6" w:rsidP="00D46CE6">
      <w:pPr>
        <w:spacing w:after="0" w:line="360" w:lineRule="auto"/>
        <w:ind w:firstLine="708"/>
        <w:jc w:val="both"/>
      </w:pPr>
      <w:r w:rsidRPr="008B51CE">
        <w:t>Las medidas anunciadas no conducen a tan d</w:t>
      </w:r>
      <w:r w:rsidR="00767BFD">
        <w:t xml:space="preserve">eseado objetivo. No contribuyen, </w:t>
      </w:r>
      <w:r w:rsidRPr="008B51CE">
        <w:t xml:space="preserve">por ejemplo, a concebir el medicamento como un bien social, lo siguen considerando un producto de </w:t>
      </w:r>
      <w:r w:rsidRPr="008B51CE">
        <w:lastRenderedPageBreak/>
        <w:t>consumo. Tampoco reivindica el rol social del farmacéutico y lo mantiene en funciones más bien administrativas. Ninguna de sus disposiciones apunta a crear una farmacia pr</w:t>
      </w:r>
      <w:r w:rsidR="00767BFD">
        <w:t>ofesional</w:t>
      </w:r>
      <w:r w:rsidRPr="008B51CE">
        <w:t>.</w:t>
      </w:r>
    </w:p>
    <w:p w:rsidR="00225DE6" w:rsidRPr="008B51CE" w:rsidRDefault="00225DE6" w:rsidP="00D46CE6">
      <w:pPr>
        <w:spacing w:after="0" w:line="360" w:lineRule="auto"/>
        <w:ind w:firstLine="708"/>
        <w:jc w:val="both"/>
      </w:pPr>
      <w:r w:rsidRPr="008B51CE">
        <w:t>Sabemos además que en Chile no existe Cultura de Medicamento, entendida como el conjunto de conceptos y convicciones que la población debe poseer para abordar correctamente sus contactos con los medicamentos. Una comunidad empoderada y culta en esta materia rechazaría los abusos de que es objeto en el mercado farmacéutico.</w:t>
      </w:r>
    </w:p>
    <w:p w:rsidR="00225DE6" w:rsidRPr="008B51CE" w:rsidRDefault="00225DE6" w:rsidP="00D46CE6">
      <w:pPr>
        <w:spacing w:after="0" w:line="360" w:lineRule="auto"/>
        <w:ind w:firstLine="708"/>
        <w:jc w:val="both"/>
      </w:pPr>
      <w:r w:rsidRPr="008B51CE">
        <w:t>Este es un desafío país que se debería enfrentar y construir desde la enseñanza básica y permanente a través de los medios sociales de comunicación.</w:t>
      </w:r>
    </w:p>
    <w:p w:rsidR="00225DE6" w:rsidRPr="008B51CE" w:rsidRDefault="00225DE6" w:rsidP="00D46CE6">
      <w:pPr>
        <w:spacing w:after="0" w:line="360" w:lineRule="auto"/>
        <w:ind w:firstLine="708"/>
        <w:jc w:val="both"/>
      </w:pPr>
      <w:r w:rsidRPr="008B51CE">
        <w:t>¿En cuánto ayudará esta ley a superar tantos problemas? ¿Será tan brillante el porvenir anunciado?</w:t>
      </w:r>
    </w:p>
    <w:p w:rsidR="00767BFD" w:rsidRDefault="00225DE6" w:rsidP="00225DE6">
      <w:pPr>
        <w:spacing w:after="0" w:line="360" w:lineRule="auto"/>
        <w:ind w:firstLine="708"/>
        <w:jc w:val="both"/>
      </w:pPr>
      <w:r w:rsidRPr="008B51CE">
        <w:t>En la farmacia antigua era común recubrir píldoras con polvo de oro como una manera de darles una mejor presentación, de hacerlas más atractivas. De allí provien</w:t>
      </w:r>
      <w:r w:rsidR="00767BFD">
        <w:t xml:space="preserve">e el dicho “dorar la píldora”. </w:t>
      </w:r>
    </w:p>
    <w:p w:rsidR="00225DE6" w:rsidRPr="008B51CE" w:rsidRDefault="00767BFD" w:rsidP="00D46CE6">
      <w:pPr>
        <w:spacing w:after="0" w:line="360" w:lineRule="auto"/>
        <w:ind w:firstLine="708"/>
        <w:jc w:val="both"/>
      </w:pPr>
      <w:r>
        <w:t>S</w:t>
      </w:r>
      <w:r w:rsidR="00225DE6" w:rsidRPr="008B51CE">
        <w:t xml:space="preserve">egún parece, </w:t>
      </w:r>
      <w:r w:rsidR="00225DE6" w:rsidRPr="00767BFD">
        <w:rPr>
          <w:b/>
        </w:rPr>
        <w:t>nos doraron la píldora</w:t>
      </w:r>
      <w:r w:rsidR="00225DE6" w:rsidRPr="008B51CE">
        <w:t>.</w:t>
      </w:r>
    </w:p>
    <w:p w:rsidR="008E78EC" w:rsidRPr="008B51CE" w:rsidRDefault="008E78EC" w:rsidP="00225DE6">
      <w:pPr>
        <w:spacing w:after="0" w:line="360" w:lineRule="auto"/>
        <w:ind w:firstLine="708"/>
        <w:jc w:val="both"/>
      </w:pPr>
    </w:p>
    <w:p w:rsidR="00A70BFB" w:rsidRPr="008B51CE" w:rsidRDefault="00A70BFB" w:rsidP="00225DE6">
      <w:pPr>
        <w:spacing w:after="0" w:line="360" w:lineRule="auto"/>
        <w:jc w:val="right"/>
      </w:pPr>
    </w:p>
    <w:p w:rsidR="00A70BFB" w:rsidRPr="008B51CE" w:rsidRDefault="00A70BFB" w:rsidP="00225DE6">
      <w:pPr>
        <w:spacing w:after="0" w:line="360" w:lineRule="auto"/>
        <w:jc w:val="both"/>
      </w:pPr>
    </w:p>
    <w:p w:rsidR="00A70BFB" w:rsidRPr="008B51CE" w:rsidRDefault="00A70BFB" w:rsidP="00225DE6">
      <w:pPr>
        <w:spacing w:after="0" w:line="360" w:lineRule="auto"/>
        <w:jc w:val="right"/>
      </w:pPr>
    </w:p>
    <w:sectPr w:rsidR="00A70BFB" w:rsidRPr="008B51CE" w:rsidSect="0005100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70BFB"/>
    <w:rsid w:val="0005100B"/>
    <w:rsid w:val="000A4FC9"/>
    <w:rsid w:val="001255C3"/>
    <w:rsid w:val="0021395C"/>
    <w:rsid w:val="00225DE6"/>
    <w:rsid w:val="00767BFD"/>
    <w:rsid w:val="007C3D6A"/>
    <w:rsid w:val="007C7144"/>
    <w:rsid w:val="008B51CE"/>
    <w:rsid w:val="008E78EC"/>
    <w:rsid w:val="00927A13"/>
    <w:rsid w:val="00A70BFB"/>
    <w:rsid w:val="00B967BC"/>
    <w:rsid w:val="00D46CE6"/>
    <w:rsid w:val="00D51F65"/>
    <w:rsid w:val="00ED4DCF"/>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00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4</Pages>
  <Words>1220</Words>
  <Characters>6711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exequiel fuenzalida nahuelhuen</dc:creator>
  <cp:lastModifiedBy>Hernan</cp:lastModifiedBy>
  <cp:revision>6</cp:revision>
  <dcterms:created xsi:type="dcterms:W3CDTF">2014-01-20T19:59:00Z</dcterms:created>
  <dcterms:modified xsi:type="dcterms:W3CDTF">2014-01-21T20:57:00Z</dcterms:modified>
</cp:coreProperties>
</file>